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83F" w:rsidRDefault="00FC383F">
      <w:pPr>
        <w:pStyle w:val="big-header"/>
        <w:ind w:left="0" w:right="1134"/>
      </w:pPr>
      <w:r>
        <w:rPr>
          <w:rtl/>
        </w:rPr>
        <w:t>תקנות רישוי עסקים (אבטחה מפני שוד והתפרצות בבנקים), תשנ"ו</w:t>
      </w:r>
      <w:r>
        <w:rPr>
          <w:rFonts w:hint="cs"/>
          <w:rtl/>
        </w:rPr>
        <w:t>-</w:t>
      </w:r>
      <w:r>
        <w:rPr>
          <w:rtl/>
        </w:rPr>
        <w:t>1996</w:t>
      </w:r>
    </w:p>
    <w:p w:rsidR="00E332C1" w:rsidRPr="00E332C1" w:rsidRDefault="00E332C1" w:rsidP="00E332C1">
      <w:pPr>
        <w:spacing w:line="320" w:lineRule="auto"/>
        <w:jc w:val="left"/>
        <w:rPr>
          <w:rFonts w:cs="FrankRuehl"/>
          <w:szCs w:val="26"/>
          <w:rtl/>
        </w:rPr>
      </w:pPr>
    </w:p>
    <w:p w:rsidR="00E332C1" w:rsidRDefault="00E332C1" w:rsidP="00E332C1">
      <w:pPr>
        <w:spacing w:line="320" w:lineRule="auto"/>
        <w:jc w:val="left"/>
        <w:rPr>
          <w:rtl/>
        </w:rPr>
      </w:pPr>
    </w:p>
    <w:p w:rsidR="00E332C1" w:rsidRPr="00E332C1" w:rsidRDefault="00E332C1" w:rsidP="00E332C1">
      <w:pPr>
        <w:spacing w:line="320" w:lineRule="auto"/>
        <w:jc w:val="left"/>
        <w:rPr>
          <w:rFonts w:cs="Miriam"/>
          <w:szCs w:val="22"/>
          <w:rtl/>
        </w:rPr>
      </w:pPr>
      <w:r w:rsidRPr="00E332C1">
        <w:rPr>
          <w:rFonts w:cs="Miriam"/>
          <w:szCs w:val="22"/>
          <w:rtl/>
        </w:rPr>
        <w:t>רשויות ומשפט מנהלי</w:t>
      </w:r>
      <w:r w:rsidRPr="00E332C1">
        <w:rPr>
          <w:rFonts w:cs="FrankRuehl"/>
          <w:szCs w:val="26"/>
          <w:rtl/>
        </w:rPr>
        <w:t xml:space="preserve"> – רישוי – רישוי עסקים</w:t>
      </w:r>
    </w:p>
    <w:p w:rsidR="00FC383F" w:rsidRDefault="00FC383F">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C383F">
        <w:tblPrEx>
          <w:tblCellMar>
            <w:top w:w="0" w:type="dxa"/>
            <w:bottom w:w="0" w:type="dxa"/>
          </w:tblCellMar>
        </w:tblPrEx>
        <w:tc>
          <w:tcPr>
            <w:tcW w:w="850" w:type="dxa"/>
          </w:tcPr>
          <w:p w:rsidR="00FC383F" w:rsidRDefault="00FC383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C383F" w:rsidRDefault="00FC383F">
            <w:pPr>
              <w:spacing w:line="240" w:lineRule="auto"/>
              <w:rPr>
                <w:sz w:val="24"/>
              </w:rPr>
            </w:pPr>
            <w:hyperlink w:anchor="Seif0" w:tooltip="הגדרה" w:history="1">
              <w:r>
                <w:rPr>
                  <w:rStyle w:val="Hyperlink"/>
                </w:rPr>
                <w:t>Go</w:t>
              </w:r>
            </w:hyperlink>
          </w:p>
        </w:tc>
        <w:tc>
          <w:tcPr>
            <w:tcW w:w="5669" w:type="dxa"/>
          </w:tcPr>
          <w:p w:rsidR="00FC383F" w:rsidRDefault="00FC383F">
            <w:pPr>
              <w:spacing w:line="240" w:lineRule="auto"/>
              <w:rPr>
                <w:sz w:val="24"/>
                <w:rtl/>
              </w:rPr>
            </w:pPr>
            <w:r>
              <w:rPr>
                <w:sz w:val="24"/>
                <w:rtl/>
              </w:rPr>
              <w:t>הגדרה</w:t>
            </w:r>
          </w:p>
        </w:tc>
        <w:tc>
          <w:tcPr>
            <w:tcW w:w="1247" w:type="dxa"/>
          </w:tcPr>
          <w:p w:rsidR="00FC383F" w:rsidRDefault="00FC383F">
            <w:pPr>
              <w:spacing w:line="240" w:lineRule="auto"/>
              <w:rPr>
                <w:sz w:val="24"/>
              </w:rPr>
            </w:pPr>
            <w:r>
              <w:rPr>
                <w:sz w:val="24"/>
                <w:rtl/>
              </w:rPr>
              <w:t xml:space="preserve">סעיף 1 </w:t>
            </w:r>
          </w:p>
        </w:tc>
      </w:tr>
      <w:tr w:rsidR="00FC383F">
        <w:tblPrEx>
          <w:tblCellMar>
            <w:top w:w="0" w:type="dxa"/>
            <w:bottom w:w="0" w:type="dxa"/>
          </w:tblCellMar>
        </w:tblPrEx>
        <w:tc>
          <w:tcPr>
            <w:tcW w:w="850" w:type="dxa"/>
          </w:tcPr>
          <w:p w:rsidR="00FC383F" w:rsidRDefault="00FC383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C383F" w:rsidRDefault="00FC383F">
            <w:pPr>
              <w:spacing w:line="240" w:lineRule="auto"/>
              <w:rPr>
                <w:sz w:val="24"/>
              </w:rPr>
            </w:pPr>
            <w:hyperlink w:anchor="Seif1" w:tooltip="מנוי אחראי בטחון" w:history="1">
              <w:r>
                <w:rPr>
                  <w:rStyle w:val="Hyperlink"/>
                </w:rPr>
                <w:t>Go</w:t>
              </w:r>
            </w:hyperlink>
          </w:p>
        </w:tc>
        <w:tc>
          <w:tcPr>
            <w:tcW w:w="5669" w:type="dxa"/>
          </w:tcPr>
          <w:p w:rsidR="00FC383F" w:rsidRDefault="00FC383F">
            <w:pPr>
              <w:spacing w:line="240" w:lineRule="auto"/>
              <w:rPr>
                <w:sz w:val="24"/>
                <w:rtl/>
              </w:rPr>
            </w:pPr>
            <w:r>
              <w:rPr>
                <w:sz w:val="24"/>
                <w:rtl/>
              </w:rPr>
              <w:t>מנוי אחראי בטחון</w:t>
            </w:r>
          </w:p>
        </w:tc>
        <w:tc>
          <w:tcPr>
            <w:tcW w:w="1247" w:type="dxa"/>
          </w:tcPr>
          <w:p w:rsidR="00FC383F" w:rsidRDefault="00FC383F">
            <w:pPr>
              <w:spacing w:line="240" w:lineRule="auto"/>
              <w:rPr>
                <w:sz w:val="24"/>
              </w:rPr>
            </w:pPr>
            <w:r>
              <w:rPr>
                <w:sz w:val="24"/>
                <w:rtl/>
              </w:rPr>
              <w:t xml:space="preserve">סעיף 2 </w:t>
            </w:r>
          </w:p>
        </w:tc>
      </w:tr>
      <w:tr w:rsidR="00FC383F">
        <w:tblPrEx>
          <w:tblCellMar>
            <w:top w:w="0" w:type="dxa"/>
            <w:bottom w:w="0" w:type="dxa"/>
          </w:tblCellMar>
        </w:tblPrEx>
        <w:tc>
          <w:tcPr>
            <w:tcW w:w="850" w:type="dxa"/>
          </w:tcPr>
          <w:p w:rsidR="00FC383F" w:rsidRDefault="00FC383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C383F" w:rsidRDefault="00FC383F">
            <w:pPr>
              <w:spacing w:line="240" w:lineRule="auto"/>
              <w:rPr>
                <w:sz w:val="24"/>
              </w:rPr>
            </w:pPr>
            <w:hyperlink w:anchor="Seif2" w:tooltip="דגמי תכניות אבטחה מוצעים" w:history="1">
              <w:r>
                <w:rPr>
                  <w:rStyle w:val="Hyperlink"/>
                </w:rPr>
                <w:t>Go</w:t>
              </w:r>
            </w:hyperlink>
          </w:p>
        </w:tc>
        <w:tc>
          <w:tcPr>
            <w:tcW w:w="5669" w:type="dxa"/>
          </w:tcPr>
          <w:p w:rsidR="00FC383F" w:rsidRDefault="00FC383F">
            <w:pPr>
              <w:spacing w:line="240" w:lineRule="auto"/>
              <w:rPr>
                <w:sz w:val="24"/>
                <w:rtl/>
              </w:rPr>
            </w:pPr>
            <w:r>
              <w:rPr>
                <w:sz w:val="24"/>
                <w:rtl/>
              </w:rPr>
              <w:t>דגמי תכניות אבטחה מוצעים</w:t>
            </w:r>
          </w:p>
        </w:tc>
        <w:tc>
          <w:tcPr>
            <w:tcW w:w="1247" w:type="dxa"/>
          </w:tcPr>
          <w:p w:rsidR="00FC383F" w:rsidRDefault="00FC383F">
            <w:pPr>
              <w:spacing w:line="240" w:lineRule="auto"/>
              <w:rPr>
                <w:sz w:val="24"/>
              </w:rPr>
            </w:pPr>
            <w:r>
              <w:rPr>
                <w:sz w:val="24"/>
                <w:rtl/>
              </w:rPr>
              <w:t xml:space="preserve">סעיף 3 </w:t>
            </w:r>
          </w:p>
        </w:tc>
      </w:tr>
      <w:tr w:rsidR="00FC383F">
        <w:tblPrEx>
          <w:tblCellMar>
            <w:top w:w="0" w:type="dxa"/>
            <w:bottom w:w="0" w:type="dxa"/>
          </w:tblCellMar>
        </w:tblPrEx>
        <w:tc>
          <w:tcPr>
            <w:tcW w:w="850" w:type="dxa"/>
          </w:tcPr>
          <w:p w:rsidR="00FC383F" w:rsidRDefault="00FC383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C383F" w:rsidRDefault="00FC383F">
            <w:pPr>
              <w:spacing w:line="240" w:lineRule="auto"/>
              <w:rPr>
                <w:sz w:val="24"/>
              </w:rPr>
            </w:pPr>
            <w:hyperlink w:anchor="Seif3" w:tooltip="דגמי תכניות  אבטחה מאושרים" w:history="1">
              <w:r>
                <w:rPr>
                  <w:rStyle w:val="Hyperlink"/>
                </w:rPr>
                <w:t>Go</w:t>
              </w:r>
            </w:hyperlink>
          </w:p>
        </w:tc>
        <w:tc>
          <w:tcPr>
            <w:tcW w:w="5669" w:type="dxa"/>
          </w:tcPr>
          <w:p w:rsidR="00FC383F" w:rsidRDefault="00FC383F">
            <w:pPr>
              <w:spacing w:line="240" w:lineRule="auto"/>
              <w:rPr>
                <w:sz w:val="24"/>
                <w:rtl/>
              </w:rPr>
            </w:pPr>
            <w:r>
              <w:rPr>
                <w:sz w:val="24"/>
                <w:rtl/>
              </w:rPr>
              <w:t>דגמי תכניות  אבטחה מאושרים</w:t>
            </w:r>
          </w:p>
        </w:tc>
        <w:tc>
          <w:tcPr>
            <w:tcW w:w="1247" w:type="dxa"/>
          </w:tcPr>
          <w:p w:rsidR="00FC383F" w:rsidRDefault="00FC383F">
            <w:pPr>
              <w:spacing w:line="240" w:lineRule="auto"/>
              <w:rPr>
                <w:sz w:val="24"/>
              </w:rPr>
            </w:pPr>
            <w:r>
              <w:rPr>
                <w:sz w:val="24"/>
                <w:rtl/>
              </w:rPr>
              <w:t xml:space="preserve">סעיף 4 </w:t>
            </w:r>
          </w:p>
        </w:tc>
      </w:tr>
      <w:tr w:rsidR="00FC383F">
        <w:tblPrEx>
          <w:tblCellMar>
            <w:top w:w="0" w:type="dxa"/>
            <w:bottom w:w="0" w:type="dxa"/>
          </w:tblCellMar>
        </w:tblPrEx>
        <w:tc>
          <w:tcPr>
            <w:tcW w:w="850" w:type="dxa"/>
          </w:tcPr>
          <w:p w:rsidR="00FC383F" w:rsidRDefault="00FC383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C383F" w:rsidRDefault="00FC383F">
            <w:pPr>
              <w:spacing w:line="240" w:lineRule="auto"/>
              <w:rPr>
                <w:sz w:val="24"/>
              </w:rPr>
            </w:pPr>
            <w:hyperlink w:anchor="Seif4" w:tooltip="תכנית לאבטחת סניפים חדשים" w:history="1">
              <w:r>
                <w:rPr>
                  <w:rStyle w:val="Hyperlink"/>
                </w:rPr>
                <w:t>Go</w:t>
              </w:r>
            </w:hyperlink>
          </w:p>
        </w:tc>
        <w:tc>
          <w:tcPr>
            <w:tcW w:w="5669" w:type="dxa"/>
          </w:tcPr>
          <w:p w:rsidR="00FC383F" w:rsidRDefault="00FC383F">
            <w:pPr>
              <w:spacing w:line="240" w:lineRule="auto"/>
              <w:rPr>
                <w:sz w:val="24"/>
                <w:rtl/>
              </w:rPr>
            </w:pPr>
            <w:r>
              <w:rPr>
                <w:sz w:val="24"/>
                <w:rtl/>
              </w:rPr>
              <w:t>תכנית לאבטחת סניפים חדשים</w:t>
            </w:r>
          </w:p>
        </w:tc>
        <w:tc>
          <w:tcPr>
            <w:tcW w:w="1247" w:type="dxa"/>
          </w:tcPr>
          <w:p w:rsidR="00FC383F" w:rsidRDefault="00FC383F">
            <w:pPr>
              <w:spacing w:line="240" w:lineRule="auto"/>
              <w:rPr>
                <w:sz w:val="24"/>
              </w:rPr>
            </w:pPr>
            <w:r>
              <w:rPr>
                <w:sz w:val="24"/>
                <w:rtl/>
              </w:rPr>
              <w:t xml:space="preserve">סעיף 5 </w:t>
            </w:r>
          </w:p>
        </w:tc>
      </w:tr>
      <w:tr w:rsidR="00FC383F">
        <w:tblPrEx>
          <w:tblCellMar>
            <w:top w:w="0" w:type="dxa"/>
            <w:bottom w:w="0" w:type="dxa"/>
          </w:tblCellMar>
        </w:tblPrEx>
        <w:tc>
          <w:tcPr>
            <w:tcW w:w="850" w:type="dxa"/>
          </w:tcPr>
          <w:p w:rsidR="00FC383F" w:rsidRDefault="00FC383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C383F" w:rsidRDefault="00FC383F">
            <w:pPr>
              <w:spacing w:line="240" w:lineRule="auto"/>
              <w:rPr>
                <w:sz w:val="24"/>
              </w:rPr>
            </w:pPr>
            <w:hyperlink w:anchor="Seif5" w:tooltip="נהלי ביצוע אבטחה" w:history="1">
              <w:r>
                <w:rPr>
                  <w:rStyle w:val="Hyperlink"/>
                </w:rPr>
                <w:t>Go</w:t>
              </w:r>
            </w:hyperlink>
          </w:p>
        </w:tc>
        <w:tc>
          <w:tcPr>
            <w:tcW w:w="5669" w:type="dxa"/>
          </w:tcPr>
          <w:p w:rsidR="00FC383F" w:rsidRDefault="00FC383F">
            <w:pPr>
              <w:spacing w:line="240" w:lineRule="auto"/>
              <w:rPr>
                <w:sz w:val="24"/>
                <w:rtl/>
              </w:rPr>
            </w:pPr>
            <w:r>
              <w:rPr>
                <w:sz w:val="24"/>
                <w:rtl/>
              </w:rPr>
              <w:t>נהלי ביצוע אבטחה</w:t>
            </w:r>
          </w:p>
        </w:tc>
        <w:tc>
          <w:tcPr>
            <w:tcW w:w="1247" w:type="dxa"/>
          </w:tcPr>
          <w:p w:rsidR="00FC383F" w:rsidRDefault="00FC383F">
            <w:pPr>
              <w:spacing w:line="240" w:lineRule="auto"/>
              <w:rPr>
                <w:sz w:val="24"/>
              </w:rPr>
            </w:pPr>
            <w:r>
              <w:rPr>
                <w:sz w:val="24"/>
                <w:rtl/>
              </w:rPr>
              <w:t xml:space="preserve">סעיף 6 </w:t>
            </w:r>
          </w:p>
        </w:tc>
      </w:tr>
      <w:tr w:rsidR="00FC383F">
        <w:tblPrEx>
          <w:tblCellMar>
            <w:top w:w="0" w:type="dxa"/>
            <w:bottom w:w="0" w:type="dxa"/>
          </w:tblCellMar>
        </w:tblPrEx>
        <w:tc>
          <w:tcPr>
            <w:tcW w:w="850" w:type="dxa"/>
          </w:tcPr>
          <w:p w:rsidR="00FC383F" w:rsidRDefault="00FC383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C383F" w:rsidRDefault="00FC383F">
            <w:pPr>
              <w:spacing w:line="240" w:lineRule="auto"/>
              <w:rPr>
                <w:sz w:val="24"/>
              </w:rPr>
            </w:pPr>
            <w:hyperlink w:anchor="Seif6" w:tooltip="תוקף אישור דגם תכנית אבטחה" w:history="1">
              <w:r>
                <w:rPr>
                  <w:rStyle w:val="Hyperlink"/>
                </w:rPr>
                <w:t>Go</w:t>
              </w:r>
            </w:hyperlink>
          </w:p>
        </w:tc>
        <w:tc>
          <w:tcPr>
            <w:tcW w:w="5669" w:type="dxa"/>
          </w:tcPr>
          <w:p w:rsidR="00FC383F" w:rsidRDefault="00FC383F">
            <w:pPr>
              <w:spacing w:line="240" w:lineRule="auto"/>
              <w:rPr>
                <w:sz w:val="24"/>
                <w:rtl/>
              </w:rPr>
            </w:pPr>
            <w:r>
              <w:rPr>
                <w:sz w:val="24"/>
                <w:rtl/>
              </w:rPr>
              <w:t>תוקף אישור דגם תכנית אבטחה</w:t>
            </w:r>
          </w:p>
        </w:tc>
        <w:tc>
          <w:tcPr>
            <w:tcW w:w="1247" w:type="dxa"/>
          </w:tcPr>
          <w:p w:rsidR="00FC383F" w:rsidRDefault="00FC383F">
            <w:pPr>
              <w:spacing w:line="240" w:lineRule="auto"/>
              <w:rPr>
                <w:sz w:val="24"/>
              </w:rPr>
            </w:pPr>
            <w:r>
              <w:rPr>
                <w:sz w:val="24"/>
                <w:rtl/>
              </w:rPr>
              <w:t xml:space="preserve">סעיף 7 </w:t>
            </w:r>
          </w:p>
        </w:tc>
      </w:tr>
      <w:tr w:rsidR="00FC383F">
        <w:tblPrEx>
          <w:tblCellMar>
            <w:top w:w="0" w:type="dxa"/>
            <w:bottom w:w="0" w:type="dxa"/>
          </w:tblCellMar>
        </w:tblPrEx>
        <w:tc>
          <w:tcPr>
            <w:tcW w:w="850" w:type="dxa"/>
          </w:tcPr>
          <w:p w:rsidR="00FC383F" w:rsidRDefault="00FC383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C383F" w:rsidRDefault="00FC383F">
            <w:pPr>
              <w:spacing w:line="240" w:lineRule="auto"/>
              <w:rPr>
                <w:sz w:val="24"/>
              </w:rPr>
            </w:pPr>
            <w:hyperlink w:anchor="Seif7" w:tooltip="שינוי דגם תכנית האבטחה" w:history="1">
              <w:r>
                <w:rPr>
                  <w:rStyle w:val="Hyperlink"/>
                </w:rPr>
                <w:t>Go</w:t>
              </w:r>
            </w:hyperlink>
          </w:p>
        </w:tc>
        <w:tc>
          <w:tcPr>
            <w:tcW w:w="5669" w:type="dxa"/>
          </w:tcPr>
          <w:p w:rsidR="00FC383F" w:rsidRDefault="00FC383F">
            <w:pPr>
              <w:spacing w:line="240" w:lineRule="auto"/>
              <w:rPr>
                <w:sz w:val="24"/>
                <w:rtl/>
              </w:rPr>
            </w:pPr>
            <w:r>
              <w:rPr>
                <w:sz w:val="24"/>
                <w:rtl/>
              </w:rPr>
              <w:t>שינוי דגם תכנית האבטחה</w:t>
            </w:r>
          </w:p>
        </w:tc>
        <w:tc>
          <w:tcPr>
            <w:tcW w:w="1247" w:type="dxa"/>
          </w:tcPr>
          <w:p w:rsidR="00FC383F" w:rsidRDefault="00FC383F">
            <w:pPr>
              <w:spacing w:line="240" w:lineRule="auto"/>
              <w:rPr>
                <w:sz w:val="24"/>
              </w:rPr>
            </w:pPr>
            <w:r>
              <w:rPr>
                <w:sz w:val="24"/>
                <w:rtl/>
              </w:rPr>
              <w:t xml:space="preserve">סעיף 8 </w:t>
            </w:r>
          </w:p>
        </w:tc>
      </w:tr>
      <w:tr w:rsidR="00FC383F">
        <w:tblPrEx>
          <w:tblCellMar>
            <w:top w:w="0" w:type="dxa"/>
            <w:bottom w:w="0" w:type="dxa"/>
          </w:tblCellMar>
        </w:tblPrEx>
        <w:tc>
          <w:tcPr>
            <w:tcW w:w="850" w:type="dxa"/>
          </w:tcPr>
          <w:p w:rsidR="00FC383F" w:rsidRDefault="00FC383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C383F" w:rsidRDefault="00FC383F">
            <w:pPr>
              <w:spacing w:line="240" w:lineRule="auto"/>
              <w:rPr>
                <w:sz w:val="24"/>
              </w:rPr>
            </w:pPr>
            <w:hyperlink w:anchor="Seif8" w:tooltip="עיון חוזר" w:history="1">
              <w:r>
                <w:rPr>
                  <w:rStyle w:val="Hyperlink"/>
                </w:rPr>
                <w:t>Go</w:t>
              </w:r>
            </w:hyperlink>
          </w:p>
        </w:tc>
        <w:tc>
          <w:tcPr>
            <w:tcW w:w="5669" w:type="dxa"/>
          </w:tcPr>
          <w:p w:rsidR="00FC383F" w:rsidRDefault="00FC383F">
            <w:pPr>
              <w:spacing w:line="240" w:lineRule="auto"/>
              <w:rPr>
                <w:sz w:val="24"/>
                <w:rtl/>
              </w:rPr>
            </w:pPr>
            <w:r>
              <w:rPr>
                <w:sz w:val="24"/>
                <w:rtl/>
              </w:rPr>
              <w:t>עיון חוזר</w:t>
            </w:r>
          </w:p>
        </w:tc>
        <w:tc>
          <w:tcPr>
            <w:tcW w:w="1247" w:type="dxa"/>
          </w:tcPr>
          <w:p w:rsidR="00FC383F" w:rsidRDefault="00FC383F">
            <w:pPr>
              <w:spacing w:line="240" w:lineRule="auto"/>
              <w:rPr>
                <w:sz w:val="24"/>
              </w:rPr>
            </w:pPr>
            <w:r>
              <w:rPr>
                <w:sz w:val="24"/>
                <w:rtl/>
              </w:rPr>
              <w:t xml:space="preserve">סעיף 9 </w:t>
            </w:r>
          </w:p>
        </w:tc>
      </w:tr>
    </w:tbl>
    <w:p w:rsidR="00FC383F" w:rsidRDefault="00FC383F">
      <w:pPr>
        <w:pStyle w:val="big-header"/>
        <w:ind w:left="0" w:right="1134"/>
        <w:rPr>
          <w:rtl/>
        </w:rPr>
      </w:pPr>
    </w:p>
    <w:p w:rsidR="00FC383F" w:rsidRDefault="00FC383F" w:rsidP="00E332C1">
      <w:pPr>
        <w:pStyle w:val="big-header"/>
        <w:ind w:left="0" w:right="1134"/>
        <w:rPr>
          <w:rStyle w:val="default"/>
          <w:rFonts w:cs="FrankRuehl" w:hint="cs"/>
          <w:rtl/>
        </w:rPr>
      </w:pPr>
      <w:r>
        <w:rPr>
          <w:rtl/>
        </w:rPr>
        <w:br w:type="page"/>
      </w:r>
      <w:r>
        <w:rPr>
          <w:rtl/>
        </w:rPr>
        <w:lastRenderedPageBreak/>
        <w:t>ת</w:t>
      </w:r>
      <w:r>
        <w:rPr>
          <w:rFonts w:hint="cs"/>
          <w:rtl/>
        </w:rPr>
        <w:t>קנות רישוי עסקים (אבטחה מפני שוד והתפרצות בבנקים), תשנ"ו-1996</w:t>
      </w:r>
      <w:r>
        <w:rPr>
          <w:rStyle w:val="default"/>
          <w:rtl/>
        </w:rPr>
        <w:footnoteReference w:customMarkFollows="1" w:id="1"/>
        <w:t>*</w:t>
      </w:r>
    </w:p>
    <w:p w:rsidR="00FC383F" w:rsidRDefault="00FC383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11 לחוק רישוי עסקים, תשכ"ח-1968, לאחר התייעצות עם </w:t>
      </w:r>
      <w:r>
        <w:rPr>
          <w:rStyle w:val="default"/>
          <w:rFonts w:cs="FrankRuehl"/>
          <w:rtl/>
        </w:rPr>
        <w:t>נ</w:t>
      </w:r>
      <w:r>
        <w:rPr>
          <w:rStyle w:val="default"/>
          <w:rFonts w:cs="FrankRuehl" w:hint="cs"/>
          <w:rtl/>
        </w:rPr>
        <w:t>גיד בנק ישראל ובאישור ועדת הפנים ואיכות הסביבה של הכנסת, אני מתקין תקנות אלה:</w:t>
      </w:r>
    </w:p>
    <w:p w:rsidR="00FC383F" w:rsidRDefault="00FC383F">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7pt;z-index:251653632" o:allowincell="f" filled="f" stroked="f" strokecolor="lime" strokeweight=".25pt">
            <v:textbox inset="0,0,0,0">
              <w:txbxContent>
                <w:p w:rsidR="00FC383F" w:rsidRDefault="00FC383F">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ה</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FC383F" w:rsidRDefault="00FC38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בנק" - תאגיד בנקאי בעל רשיון בנק לפי סעיף 4(א)(1)(א) לחוק הבנקאות (רישוי), תשמ"א-1981 (להלן - חוק הרישוי);</w:t>
      </w:r>
    </w:p>
    <w:p w:rsidR="00FC383F" w:rsidRDefault="00FC38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סניף" - כהגדרתו בחוק הרישוי, למעט מקום המ</w:t>
      </w:r>
      <w:r>
        <w:rPr>
          <w:rStyle w:val="default"/>
          <w:rFonts w:cs="FrankRuehl"/>
          <w:rtl/>
        </w:rPr>
        <w:t>ש</w:t>
      </w:r>
      <w:r>
        <w:rPr>
          <w:rStyle w:val="default"/>
          <w:rFonts w:cs="FrankRuehl" w:hint="cs"/>
          <w:rtl/>
        </w:rPr>
        <w:t>מש למינהלת הבנק והנהלתו בלבד, שאין מבצעים בו עסקאות במזומנים;</w:t>
      </w:r>
    </w:p>
    <w:p w:rsidR="00FC383F" w:rsidRDefault="00FC383F">
      <w:pPr>
        <w:pStyle w:val="P00"/>
        <w:spacing w:before="72"/>
        <w:ind w:left="0" w:right="1134"/>
        <w:rPr>
          <w:rtl/>
        </w:rPr>
      </w:pPr>
      <w:r>
        <w:rPr>
          <w:rtl/>
        </w:rPr>
        <w:tab/>
      </w:r>
      <w:r>
        <w:rPr>
          <w:rFonts w:hint="cs"/>
          <w:rtl/>
        </w:rPr>
        <w:t>"קצין משטרה מוסמך" - קצין משטרה בדרגת סגן ניצב ומעלה, מן המטה הארצי של המשטרה, שהוסמך בידי המפקח הכללי לצורך תקנות אלה.</w:t>
      </w:r>
    </w:p>
    <w:p w:rsidR="00FC383F" w:rsidRDefault="00FC383F">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4656" o:allowincell="f" filled="f" stroked="f" strokecolor="lime" strokeweight=".25pt">
            <v:textbox inset="0,0,0,0">
              <w:txbxContent>
                <w:p w:rsidR="00FC383F" w:rsidRDefault="00FC383F">
                  <w:pPr>
                    <w:spacing w:line="160" w:lineRule="exact"/>
                    <w:jc w:val="left"/>
                    <w:rPr>
                      <w:rFonts w:cs="Miriam"/>
                      <w:noProof/>
                      <w:szCs w:val="18"/>
                      <w:rtl/>
                    </w:rPr>
                  </w:pPr>
                  <w:r>
                    <w:rPr>
                      <w:rFonts w:cs="Miriam"/>
                      <w:szCs w:val="18"/>
                      <w:rtl/>
                    </w:rPr>
                    <w:t>מ</w:t>
                  </w:r>
                  <w:r>
                    <w:rPr>
                      <w:rFonts w:cs="Miriam" w:hint="cs"/>
                      <w:szCs w:val="18"/>
                      <w:rtl/>
                    </w:rPr>
                    <w:t>נ</w:t>
                  </w:r>
                  <w:r>
                    <w:rPr>
                      <w:rFonts w:cs="Miriam"/>
                      <w:szCs w:val="18"/>
                      <w:rtl/>
                    </w:rPr>
                    <w:t>ו</w:t>
                  </w:r>
                  <w:r>
                    <w:rPr>
                      <w:rFonts w:cs="Miriam" w:hint="cs"/>
                      <w:szCs w:val="18"/>
                      <w:rtl/>
                    </w:rPr>
                    <w:t xml:space="preserve">י אחראי </w:t>
                  </w:r>
                  <w:r>
                    <w:rPr>
                      <w:rFonts w:cs="Miriam"/>
                      <w:szCs w:val="18"/>
                      <w:rtl/>
                    </w:rPr>
                    <w:t>ב</w:t>
                  </w:r>
                  <w:r>
                    <w:rPr>
                      <w:rFonts w:cs="Miriam" w:hint="cs"/>
                      <w:szCs w:val="18"/>
                      <w:rtl/>
                    </w:rPr>
                    <w:t>טחון</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נק ימנה אדם שיהיה אחראי לבטחון סניפי הבנק (להלן - אחראי בטחון).</w:t>
      </w:r>
    </w:p>
    <w:p w:rsidR="00FC383F" w:rsidRDefault="00FC383F">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1.95pt;z-index:251655680" o:allowincell="f" filled="f" stroked="f" strokecolor="lime" strokeweight=".25pt">
            <v:textbox inset="0,0,0,0">
              <w:txbxContent>
                <w:p w:rsidR="00FC383F" w:rsidRDefault="00FC383F">
                  <w:pPr>
                    <w:spacing w:line="160" w:lineRule="exact"/>
                    <w:jc w:val="left"/>
                    <w:rPr>
                      <w:rFonts w:cs="Miriam"/>
                      <w:noProof/>
                      <w:szCs w:val="18"/>
                      <w:rtl/>
                    </w:rPr>
                  </w:pPr>
                  <w:r>
                    <w:rPr>
                      <w:rFonts w:cs="Miriam"/>
                      <w:szCs w:val="18"/>
                      <w:rtl/>
                    </w:rPr>
                    <w:t>ד</w:t>
                  </w:r>
                  <w:r>
                    <w:rPr>
                      <w:rFonts w:cs="Miriam" w:hint="cs"/>
                      <w:szCs w:val="18"/>
                      <w:rtl/>
                    </w:rPr>
                    <w:t>גמי תכניות אבטחה מוצעים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בנק ידאג לכך שאחראי הבטחון יכין דגמי תכניות לאבטחת כל סניפי הבנק; דגם תכנית יכלול אמצעי אבטחה מבין האמצעים המפורטים בתוספת, וזאת על פי מקום הימצאו, היקף עסקיו ואופי עסקיו של הסניף (להלן - דגמי תכניות האבטח</w:t>
      </w:r>
      <w:r>
        <w:rPr>
          <w:rStyle w:val="default"/>
          <w:rFonts w:cs="FrankRuehl"/>
          <w:rtl/>
        </w:rPr>
        <w:t>ה</w:t>
      </w:r>
      <w:r>
        <w:rPr>
          <w:rStyle w:val="default"/>
          <w:rFonts w:cs="FrankRuehl" w:hint="cs"/>
          <w:rtl/>
        </w:rPr>
        <w:t xml:space="preserve"> המוצעים).</w:t>
      </w:r>
    </w:p>
    <w:p w:rsidR="00FC383F" w:rsidRDefault="00FC38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אחראי הבטחון יגיש, תוך 180 ימים מיום תחילתן של תקנות אלה, את דגמי תכניות האבטחה המוצעים ביחס לכל סניפי הבנק לאישורו של קצין משטרה מוסמך, וכן יגיש לוח זמנים ליישום דגמי תכניות האבטחה, ובלבד שתחילת ביצוען יהיה עם אישור דגמי התכניות והשלמת יי</w:t>
      </w:r>
      <w:r>
        <w:rPr>
          <w:rStyle w:val="default"/>
          <w:rFonts w:cs="FrankRuehl"/>
          <w:rtl/>
        </w:rPr>
        <w:t>ש</w:t>
      </w:r>
      <w:r>
        <w:rPr>
          <w:rStyle w:val="default"/>
          <w:rFonts w:cs="FrankRuehl" w:hint="cs"/>
          <w:rtl/>
        </w:rPr>
        <w:t>ומן, ביחס לכל סניפי הבנק, לא תעלה על שנה מיום אישורן.</w:t>
      </w:r>
    </w:p>
    <w:p w:rsidR="00FC383F" w:rsidRDefault="00FC383F">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9.25pt;z-index:251656704" o:allowincell="f" filled="f" stroked="f" strokecolor="lime" strokeweight=".25pt">
            <v:textbox inset="0,0,0,0">
              <w:txbxContent>
                <w:p w:rsidR="00FC383F" w:rsidRDefault="00FC383F">
                  <w:pPr>
                    <w:spacing w:line="160" w:lineRule="exact"/>
                    <w:jc w:val="left"/>
                    <w:rPr>
                      <w:rFonts w:cs="Miriam"/>
                      <w:noProof/>
                      <w:szCs w:val="18"/>
                      <w:rtl/>
                    </w:rPr>
                  </w:pPr>
                  <w:r>
                    <w:rPr>
                      <w:rFonts w:cs="Miriam"/>
                      <w:szCs w:val="18"/>
                      <w:rtl/>
                    </w:rPr>
                    <w:t>ד</w:t>
                  </w:r>
                  <w:r>
                    <w:rPr>
                      <w:rFonts w:cs="Miriam" w:hint="cs"/>
                      <w:szCs w:val="18"/>
                      <w:rtl/>
                    </w:rPr>
                    <w:t xml:space="preserve">גמי </w:t>
                  </w:r>
                  <w:r>
                    <w:rPr>
                      <w:rFonts w:cs="Miriam"/>
                      <w:szCs w:val="18"/>
                      <w:rtl/>
                    </w:rPr>
                    <w:t>ת</w:t>
                  </w:r>
                  <w:r>
                    <w:rPr>
                      <w:rFonts w:cs="Miriam" w:hint="cs"/>
                      <w:szCs w:val="18"/>
                      <w:rtl/>
                    </w:rPr>
                    <w:t xml:space="preserve">כניות </w:t>
                  </w:r>
                  <w:r>
                    <w:rPr>
                      <w:rFonts w:cs="Miriam"/>
                      <w:szCs w:val="18"/>
                      <w:rtl/>
                    </w:rPr>
                    <w:t>א</w:t>
                  </w:r>
                  <w:r>
                    <w:rPr>
                      <w:rFonts w:cs="Miriam" w:hint="cs"/>
                      <w:szCs w:val="18"/>
                      <w:rtl/>
                    </w:rPr>
                    <w:t>בטחה מאושרים</w:t>
                  </w:r>
                </w:p>
              </w:txbxContent>
            </v:textbox>
            <w10:anchorlock/>
          </v:rect>
        </w:pict>
      </w:r>
      <w:r>
        <w:rPr>
          <w:rStyle w:val="big-number"/>
          <w:rtl/>
        </w:rPr>
        <w:t>4.</w:t>
      </w:r>
      <w:r>
        <w:rPr>
          <w:rStyle w:val="big-number"/>
          <w:rtl/>
        </w:rPr>
        <w:tab/>
      </w:r>
      <w:r>
        <w:rPr>
          <w:rStyle w:val="default"/>
          <w:rFonts w:cs="FrankRuehl"/>
          <w:rtl/>
        </w:rPr>
        <w:t>ק</w:t>
      </w:r>
      <w:r>
        <w:rPr>
          <w:rStyle w:val="default"/>
          <w:rFonts w:cs="FrankRuehl" w:hint="cs"/>
          <w:rtl/>
        </w:rPr>
        <w:t>צין משטרה מוסמך רשאי לאשר את דגמי תכניות האבטחה המוצעים ולוח הזמנים ה</w:t>
      </w:r>
      <w:r>
        <w:rPr>
          <w:rStyle w:val="default"/>
          <w:rFonts w:cs="FrankRuehl"/>
          <w:rtl/>
        </w:rPr>
        <w:t>מ</w:t>
      </w:r>
      <w:r>
        <w:rPr>
          <w:rStyle w:val="default"/>
          <w:rFonts w:cs="FrankRuehl" w:hint="cs"/>
          <w:rtl/>
        </w:rPr>
        <w:t>וצע ליישומם, כלשונם, או להתנות את אישורו בנקיטת אמצעים אחרים או נוספים, והכל מבין אלה המפורטים בתוספת, או לדרוש שינוי בלוח הזמנים, ככל שנדרש על פי מיקום סניפי הבנק, היקף העסקים בהם ואופיים.</w:t>
      </w:r>
    </w:p>
    <w:p w:rsidR="00FC383F" w:rsidRDefault="00FC383F">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1.95pt;z-index:251657728" o:allowincell="f" filled="f" stroked="f" strokecolor="lime" strokeweight=".25pt">
            <v:textbox inset="0,0,0,0">
              <w:txbxContent>
                <w:p w:rsidR="00FC383F" w:rsidRDefault="00FC383F">
                  <w:pPr>
                    <w:spacing w:line="160" w:lineRule="exact"/>
                    <w:jc w:val="left"/>
                    <w:rPr>
                      <w:rFonts w:cs="Miriam"/>
                      <w:noProof/>
                      <w:szCs w:val="18"/>
                      <w:rtl/>
                    </w:rPr>
                  </w:pPr>
                  <w:r>
                    <w:rPr>
                      <w:rFonts w:cs="Miriam"/>
                      <w:szCs w:val="18"/>
                      <w:rtl/>
                    </w:rPr>
                    <w:t>ת</w:t>
                  </w:r>
                  <w:r>
                    <w:rPr>
                      <w:rFonts w:cs="Miriam" w:hint="cs"/>
                      <w:szCs w:val="18"/>
                      <w:rtl/>
                    </w:rPr>
                    <w:t>כנית לאבטחת סניפים חדשים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עומד בנק לפתוח סניף חדש לאחר </w:t>
      </w:r>
      <w:r>
        <w:rPr>
          <w:rStyle w:val="default"/>
          <w:rFonts w:cs="FrankRuehl"/>
          <w:rtl/>
        </w:rPr>
        <w:t>מ</w:t>
      </w:r>
      <w:r>
        <w:rPr>
          <w:rStyle w:val="default"/>
          <w:rFonts w:cs="FrankRuehl" w:hint="cs"/>
          <w:rtl/>
        </w:rPr>
        <w:t>ועד אישור דגמי תכניות האבטחה כאמור בתקנה 4, יגיש אחראי הבטחון בו לאישור קצין משטרה מוסמך את דגם התכנית לאבטחת אותו סניף על פי אחד מדגמי תכניות האבטחה שאושרו.</w:t>
      </w:r>
    </w:p>
    <w:p w:rsidR="00FC383F" w:rsidRDefault="00FC38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משטרה מוסמך רשאי לאשר את דגם תכנית האבטחה שהוצע או לדרוש אבטחה על פי דגם תכנית אבטחה אח</w:t>
      </w:r>
      <w:r>
        <w:rPr>
          <w:rStyle w:val="default"/>
          <w:rFonts w:cs="FrankRuehl"/>
          <w:rtl/>
        </w:rPr>
        <w:t>ר</w:t>
      </w:r>
      <w:r>
        <w:rPr>
          <w:rStyle w:val="default"/>
          <w:rFonts w:cs="FrankRuehl" w:hint="cs"/>
          <w:rtl/>
        </w:rPr>
        <w:t xml:space="preserve"> שאושר כאמור בתקנה 4, וזאת תוך 30 ימים ממועד קבלת דגם תכנית האבטחה של אותו סניף כאמור בתקנת משנה (א).</w:t>
      </w:r>
    </w:p>
    <w:p w:rsidR="00FC383F" w:rsidRDefault="00FC38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הבנק אחראי לכך כי לא יפתח סניף לאחר אישור דגמי האבטחה כאמור בתקנה 4, בלא שתיושם לגביו תכנית האבטחה על פי דגם שאושר כאמור בתקנת משנה (ב).</w:t>
      </w:r>
    </w:p>
    <w:p w:rsidR="00FC383F" w:rsidRDefault="00FC383F">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5.8pt;z-index:251658752" o:allowincell="f" filled="f" stroked="f" strokecolor="lime" strokeweight=".25pt">
            <v:textbox inset="0,0,0,0">
              <w:txbxContent>
                <w:p w:rsidR="00FC383F" w:rsidRDefault="00FC383F">
                  <w:pPr>
                    <w:spacing w:line="160" w:lineRule="exact"/>
                    <w:jc w:val="left"/>
                    <w:rPr>
                      <w:rFonts w:cs="Miriam"/>
                      <w:noProof/>
                      <w:szCs w:val="18"/>
                      <w:rtl/>
                    </w:rPr>
                  </w:pPr>
                  <w:r>
                    <w:rPr>
                      <w:rFonts w:cs="Miriam"/>
                      <w:szCs w:val="18"/>
                      <w:rtl/>
                    </w:rPr>
                    <w:t>נ</w:t>
                  </w:r>
                  <w:r>
                    <w:rPr>
                      <w:rFonts w:cs="Miriam" w:hint="cs"/>
                      <w:szCs w:val="18"/>
                      <w:rtl/>
                    </w:rPr>
                    <w:t xml:space="preserve">הלי ביצוע </w:t>
                  </w:r>
                  <w:r>
                    <w:rPr>
                      <w:rFonts w:cs="Miriam"/>
                      <w:szCs w:val="18"/>
                      <w:rtl/>
                    </w:rPr>
                    <w:t>א</w:t>
                  </w:r>
                  <w:r>
                    <w:rPr>
                      <w:rFonts w:cs="Miriam" w:hint="cs"/>
                      <w:szCs w:val="18"/>
                      <w:rtl/>
                    </w:rPr>
                    <w:t>בטחה</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נק יהיה אחראי לפעול בהתאם לדגמי תכניות האבטחה שאושרו ביחס לכל סניפיו, ויקבע נהלים לביצועם.</w:t>
      </w:r>
    </w:p>
    <w:p w:rsidR="00FC383F" w:rsidRDefault="00FC383F">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2.1pt;z-index:251659776" o:allowincell="f" filled="f" stroked="f" strokecolor="lime" strokeweight=".25pt">
            <v:textbox inset="0,0,0,0">
              <w:txbxContent>
                <w:p w:rsidR="00FC383F" w:rsidRDefault="00FC383F">
                  <w:pPr>
                    <w:spacing w:line="160" w:lineRule="exact"/>
                    <w:jc w:val="left"/>
                    <w:rPr>
                      <w:rFonts w:cs="Miriam"/>
                      <w:noProof/>
                      <w:szCs w:val="18"/>
                      <w:rtl/>
                    </w:rPr>
                  </w:pPr>
                  <w:r>
                    <w:rPr>
                      <w:rFonts w:cs="Miriam"/>
                      <w:szCs w:val="18"/>
                      <w:rtl/>
                    </w:rPr>
                    <w:t>ת</w:t>
                  </w:r>
                  <w:r>
                    <w:rPr>
                      <w:rFonts w:cs="Miriam" w:hint="cs"/>
                      <w:szCs w:val="18"/>
                      <w:rtl/>
                    </w:rPr>
                    <w:t>וקף אישור דגם תכנית אבטחה</w:t>
                  </w:r>
                </w:p>
              </w:txbxContent>
            </v:textbox>
            <w10:anchorlock/>
          </v:rect>
        </w:pict>
      </w:r>
      <w:r>
        <w:rPr>
          <w:rStyle w:val="big-number"/>
          <w:rtl/>
        </w:rPr>
        <w:t>7.</w:t>
      </w:r>
      <w:r>
        <w:rPr>
          <w:rStyle w:val="big-number"/>
          <w:rtl/>
        </w:rPr>
        <w:tab/>
      </w:r>
      <w:r>
        <w:rPr>
          <w:rStyle w:val="default"/>
          <w:rFonts w:cs="FrankRuehl"/>
          <w:rtl/>
        </w:rPr>
        <w:t>א</w:t>
      </w:r>
      <w:r>
        <w:rPr>
          <w:rStyle w:val="default"/>
          <w:rFonts w:cs="FrankRuehl" w:hint="cs"/>
          <w:rtl/>
        </w:rPr>
        <w:t xml:space="preserve">ישור דגם תכנית אבטחה יהיה בתוקף למשך 5 שנים, כפוף לאמור בתקנה 8(ב). לאחר המועד האמור יהיה קצין משטרה מוסמך רשאי לחזור </w:t>
      </w:r>
      <w:r>
        <w:rPr>
          <w:rStyle w:val="default"/>
          <w:rFonts w:cs="FrankRuehl"/>
          <w:rtl/>
        </w:rPr>
        <w:t>ו</w:t>
      </w:r>
      <w:r>
        <w:rPr>
          <w:rStyle w:val="default"/>
          <w:rFonts w:cs="FrankRuehl" w:hint="cs"/>
          <w:rtl/>
        </w:rPr>
        <w:t>לאשרו או להתנות אישורו מחדש בנקיטת אמצעים אחרים או נוספים והכל מבין אלה המפורטים בתוספת, וזאת לתקופה נוספת של 5 שנים בכל פעם.</w:t>
      </w:r>
    </w:p>
    <w:p w:rsidR="00FC383F" w:rsidRDefault="00FC383F">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2.2pt;z-index:251660800" o:allowincell="f" filled="f" stroked="f" strokecolor="lime" strokeweight=".25pt">
            <v:textbox inset="0,0,0,0">
              <w:txbxContent>
                <w:p w:rsidR="00FC383F" w:rsidRDefault="00FC383F">
                  <w:pPr>
                    <w:spacing w:line="160" w:lineRule="exact"/>
                    <w:jc w:val="left"/>
                    <w:rPr>
                      <w:rFonts w:cs="Miriam"/>
                      <w:noProof/>
                      <w:szCs w:val="18"/>
                      <w:rtl/>
                    </w:rPr>
                  </w:pPr>
                  <w:r>
                    <w:rPr>
                      <w:rFonts w:cs="Miriam"/>
                      <w:szCs w:val="18"/>
                      <w:rtl/>
                    </w:rPr>
                    <w:t>ש</w:t>
                  </w:r>
                  <w:r>
                    <w:rPr>
                      <w:rFonts w:cs="Miriam" w:hint="cs"/>
                      <w:szCs w:val="18"/>
                      <w:rtl/>
                    </w:rPr>
                    <w:t xml:space="preserve">ינוי דגם </w:t>
                  </w:r>
                  <w:r>
                    <w:rPr>
                      <w:rFonts w:cs="Miriam"/>
                      <w:szCs w:val="18"/>
                      <w:rtl/>
                    </w:rPr>
                    <w:t>ת</w:t>
                  </w:r>
                  <w:r>
                    <w:rPr>
                      <w:rFonts w:cs="Miriam" w:hint="cs"/>
                      <w:szCs w:val="18"/>
                      <w:rtl/>
                    </w:rPr>
                    <w:t>כנית האבטחה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אחראי בטחון רשאי מזמן לזמן לבקש אישור קצין משטרה מוסמך לשינוי דגם תכנית אבטחה שאושר או להוסיף דג</w:t>
      </w:r>
      <w:r>
        <w:rPr>
          <w:rStyle w:val="default"/>
          <w:rFonts w:cs="FrankRuehl"/>
          <w:rtl/>
        </w:rPr>
        <w:t>ם</w:t>
      </w:r>
      <w:r>
        <w:rPr>
          <w:rStyle w:val="default"/>
          <w:rFonts w:cs="FrankRuehl" w:hint="cs"/>
          <w:rtl/>
        </w:rPr>
        <w:t xml:space="preserve"> תכנית האבטחה חדש או לשנות את דגם תכנית אבטחה שאושרה ביחס לסניף; ביקש אחראי הבטחון כאמור, יאשר קצין המשטרה המוסמך את בקשתו או ידחה אותה, תוך 30 ימים ממועד קבלתה.</w:t>
      </w:r>
    </w:p>
    <w:p w:rsidR="00FC383F" w:rsidRDefault="00FC38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קצין משטרה מוסמך רשאי לדרוש שינוי של דגם תכנית אבטחה או דגם תכנית </w:t>
      </w:r>
      <w:r>
        <w:rPr>
          <w:rStyle w:val="default"/>
          <w:rFonts w:cs="FrankRuehl" w:hint="cs"/>
          <w:rtl/>
        </w:rPr>
        <w:lastRenderedPageBreak/>
        <w:t>אבטחה לסניף שאושר לפני</w:t>
      </w:r>
      <w:r>
        <w:rPr>
          <w:rStyle w:val="default"/>
          <w:rFonts w:cs="FrankRuehl"/>
          <w:rtl/>
        </w:rPr>
        <w:t xml:space="preserve"> </w:t>
      </w:r>
      <w:r>
        <w:rPr>
          <w:rStyle w:val="default"/>
          <w:rFonts w:cs="FrankRuehl" w:hint="cs"/>
          <w:rtl/>
        </w:rPr>
        <w:t>עבור תקופת 5 השנים כאמור בתקנה 7, אם השינוי נדרש למניעת סכנה ממשית ודחופה של שוד והתפרצות לבנקים.</w:t>
      </w:r>
    </w:p>
    <w:p w:rsidR="00FC383F" w:rsidRDefault="00FC383F">
      <w:pPr>
        <w:pStyle w:val="P00"/>
        <w:spacing w:before="72"/>
        <w:ind w:left="0" w:right="1134"/>
        <w:rPr>
          <w:rStyle w:val="default"/>
          <w:rFonts w:cs="FrankRuehl" w:hint="cs"/>
          <w:rtl/>
        </w:rPr>
      </w:pPr>
      <w:bookmarkStart w:id="8" w:name="Seif8"/>
      <w:bookmarkEnd w:id="8"/>
      <w:r>
        <w:rPr>
          <w:lang w:val="he-IL"/>
        </w:rPr>
        <w:pict>
          <v:rect id="_x0000_s1034" style="position:absolute;left:0;text-align:left;margin-left:464.5pt;margin-top:8.05pt;width:75.05pt;height:12.45pt;z-index:251661824" o:allowincell="f" filled="f" stroked="f" strokecolor="lime" strokeweight=".25pt">
            <v:textbox inset="0,0,0,0">
              <w:txbxContent>
                <w:p w:rsidR="00FC383F" w:rsidRDefault="00FC383F">
                  <w:pPr>
                    <w:spacing w:line="160" w:lineRule="exact"/>
                    <w:jc w:val="left"/>
                    <w:rPr>
                      <w:rFonts w:cs="Miriam"/>
                      <w:noProof/>
                      <w:szCs w:val="18"/>
                      <w:rtl/>
                    </w:rPr>
                  </w:pPr>
                  <w:r>
                    <w:rPr>
                      <w:rFonts w:cs="Miriam"/>
                      <w:szCs w:val="18"/>
                      <w:rtl/>
                    </w:rPr>
                    <w:t>ע</w:t>
                  </w:r>
                  <w:r>
                    <w:rPr>
                      <w:rFonts w:cs="Miriam" w:hint="cs"/>
                      <w:szCs w:val="18"/>
                      <w:rtl/>
                    </w:rPr>
                    <w:t>יון חוזר</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 xml:space="preserve">וך 30 ימים ממועד קבלת החלטת קצין המשטרה המוסמך רשאי אחראי בטחון לבקש עיון חוזר בדרישה בידי ראש אגף המבצעים של </w:t>
      </w:r>
      <w:r>
        <w:rPr>
          <w:rStyle w:val="default"/>
          <w:rFonts w:cs="FrankRuehl"/>
          <w:rtl/>
        </w:rPr>
        <w:t>ה</w:t>
      </w:r>
      <w:r>
        <w:rPr>
          <w:rStyle w:val="default"/>
          <w:rFonts w:cs="FrankRuehl" w:hint="cs"/>
          <w:rtl/>
        </w:rPr>
        <w:t>משטרה או סגנו, שהחלטתו תבוא במקום החלטת קצין משטרה מוסמך.</w:t>
      </w:r>
    </w:p>
    <w:p w:rsidR="00FC383F" w:rsidRDefault="00FC383F">
      <w:pPr>
        <w:pStyle w:val="P00"/>
        <w:spacing w:before="72"/>
        <w:ind w:left="0" w:right="1134"/>
        <w:rPr>
          <w:rStyle w:val="default"/>
          <w:rFonts w:cs="FrankRuehl"/>
          <w:rtl/>
        </w:rPr>
      </w:pPr>
    </w:p>
    <w:p w:rsidR="00FC383F" w:rsidRDefault="00FC383F">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וספת</w:t>
      </w:r>
    </w:p>
    <w:p w:rsidR="00FC383F" w:rsidRDefault="00FC383F">
      <w:pPr>
        <w:pStyle w:val="medium-header"/>
        <w:keepNext w:val="0"/>
        <w:keepLines w:val="0"/>
        <w:ind w:left="0" w:right="1134"/>
        <w:rPr>
          <w:rStyle w:val="default"/>
          <w:rFonts w:cs="FrankRuehl"/>
          <w:sz w:val="24"/>
          <w:szCs w:val="24"/>
          <w:rtl/>
        </w:rPr>
      </w:pPr>
      <w:r>
        <w:rPr>
          <w:rStyle w:val="default"/>
          <w:rFonts w:cs="FrankRuehl"/>
          <w:sz w:val="24"/>
          <w:szCs w:val="24"/>
          <w:rtl/>
        </w:rPr>
        <w:t>(</w:t>
      </w:r>
      <w:r>
        <w:rPr>
          <w:rStyle w:val="default"/>
          <w:rFonts w:cs="FrankRuehl" w:hint="cs"/>
          <w:sz w:val="24"/>
          <w:szCs w:val="24"/>
          <w:rtl/>
        </w:rPr>
        <w:t>תקנה 3(א), 4 ו-7)</w:t>
      </w:r>
    </w:p>
    <w:p w:rsidR="00FC383F" w:rsidRDefault="00FC383F">
      <w:pPr>
        <w:pStyle w:val="medium-header"/>
        <w:keepNext w:val="0"/>
        <w:keepLines w:val="0"/>
        <w:ind w:left="0" w:right="1134"/>
        <w:rPr>
          <w:b/>
          <w:bCs/>
          <w:sz w:val="22"/>
          <w:szCs w:val="22"/>
          <w:rtl/>
        </w:rPr>
      </w:pPr>
      <w:r>
        <w:rPr>
          <w:b/>
          <w:bCs/>
          <w:sz w:val="22"/>
          <w:szCs w:val="22"/>
          <w:rtl/>
        </w:rPr>
        <w:t>א</w:t>
      </w:r>
      <w:r>
        <w:rPr>
          <w:rFonts w:hint="cs"/>
          <w:b/>
          <w:bCs/>
          <w:sz w:val="22"/>
          <w:szCs w:val="22"/>
          <w:rtl/>
        </w:rPr>
        <w:t>מצעי אבטחה</w:t>
      </w:r>
    </w:p>
    <w:p w:rsidR="00FC383F" w:rsidRDefault="00FC383F">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עריכת סריקות במבנה ובסביבותיו בעת פתיחת סניף בנק וסגירתו, ובמהלך הפעילות בו.</w:t>
      </w:r>
    </w:p>
    <w:p w:rsidR="00FC383F" w:rsidRDefault="00FC383F">
      <w:pPr>
        <w:pStyle w:val="P00"/>
        <w:spacing w:before="72"/>
        <w:ind w:left="0" w:right="1134"/>
        <w:rPr>
          <w:rStyle w:val="default"/>
          <w:rFonts w:cs="FrankRuehl"/>
          <w:rtl/>
        </w:rPr>
      </w:pPr>
      <w:r>
        <w:rPr>
          <w:rtl/>
        </w:rPr>
        <w:t>2.</w:t>
      </w:r>
      <w:r>
        <w:rPr>
          <w:rtl/>
        </w:rPr>
        <w:tab/>
      </w:r>
      <w:r>
        <w:rPr>
          <w:rStyle w:val="default"/>
          <w:rFonts w:cs="FrankRuehl"/>
          <w:rtl/>
        </w:rPr>
        <w:t>ה</w:t>
      </w:r>
      <w:r>
        <w:rPr>
          <w:rStyle w:val="default"/>
          <w:rFonts w:cs="FrankRuehl" w:hint="cs"/>
          <w:rtl/>
        </w:rPr>
        <w:t>עסקת שומרים והפעלתם בביצוע פעולות הדרושות לאבטחה.</w:t>
      </w:r>
    </w:p>
    <w:p w:rsidR="00FC383F" w:rsidRDefault="00FC383F">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תקנת אמצעי מיגון ואתרע</w:t>
      </w:r>
      <w:r>
        <w:rPr>
          <w:rStyle w:val="default"/>
          <w:rFonts w:cs="FrankRuehl"/>
          <w:rtl/>
        </w:rPr>
        <w:t>ה</w:t>
      </w:r>
      <w:r>
        <w:rPr>
          <w:rStyle w:val="default"/>
          <w:rFonts w:cs="FrankRuehl" w:hint="cs"/>
          <w:rtl/>
        </w:rPr>
        <w:t xml:space="preserve"> כגון שריון ונעילת דלתות לקופות וחדרי אוצר; מערכות אזעקה וגלאים, חיבור למוקד בקרה אלקטרוני.</w:t>
      </w:r>
    </w:p>
    <w:p w:rsidR="00FC383F" w:rsidRDefault="00FC383F">
      <w:pPr>
        <w:pStyle w:val="P01"/>
        <w:spacing w:before="72"/>
        <w:ind w:left="624" w:right="1134"/>
        <w:rPr>
          <w:rStyle w:val="default"/>
          <w:rFonts w:cs="FrankRuehl"/>
          <w:rtl/>
        </w:rPr>
      </w:pPr>
      <w:r>
        <w:rPr>
          <w:rtl/>
        </w:rPr>
        <w:t>4.</w:t>
      </w:r>
      <w:r>
        <w:rPr>
          <w:rtl/>
        </w:rPr>
        <w:tab/>
      </w:r>
      <w:r>
        <w:rPr>
          <w:rStyle w:val="default"/>
          <w:rFonts w:cs="FrankRuehl"/>
          <w:rtl/>
        </w:rPr>
        <w:t>ה</w:t>
      </w:r>
      <w:r>
        <w:rPr>
          <w:rStyle w:val="default"/>
          <w:rFonts w:cs="FrankRuehl" w:hint="cs"/>
          <w:rtl/>
        </w:rPr>
        <w:t>דרכת עובדים בשימוש באמצעי אתרעה ומיגון המותקנים בסניף ובהתמודדות באירועי שוד או התפרצות או גניבה.</w:t>
      </w:r>
    </w:p>
    <w:p w:rsidR="00FC383F" w:rsidRDefault="00FC383F">
      <w:pPr>
        <w:pStyle w:val="P01"/>
        <w:spacing w:before="72"/>
        <w:ind w:left="624" w:right="1134"/>
        <w:rPr>
          <w:rStyle w:val="default"/>
          <w:rFonts w:cs="FrankRuehl"/>
          <w:rtl/>
        </w:rPr>
      </w:pPr>
      <w:r>
        <w:rPr>
          <w:rtl/>
        </w:rPr>
        <w:t>5.</w:t>
      </w:r>
      <w:r>
        <w:rPr>
          <w:rtl/>
        </w:rPr>
        <w:tab/>
      </w:r>
      <w:r>
        <w:rPr>
          <w:rStyle w:val="default"/>
          <w:rFonts w:cs="FrankRuehl"/>
          <w:rtl/>
        </w:rPr>
        <w:t>ק</w:t>
      </w:r>
      <w:r>
        <w:rPr>
          <w:rStyle w:val="default"/>
          <w:rFonts w:cs="FrankRuehl" w:hint="cs"/>
          <w:rtl/>
        </w:rPr>
        <w:t>ביעת אופן החזקת כספים ודברי ערך בבנק והובלתם אל הבנק וממנ</w:t>
      </w:r>
      <w:r>
        <w:rPr>
          <w:rStyle w:val="default"/>
          <w:rFonts w:cs="FrankRuehl"/>
          <w:rtl/>
        </w:rPr>
        <w:t>ו</w:t>
      </w:r>
      <w:r>
        <w:rPr>
          <w:rStyle w:val="default"/>
          <w:rFonts w:cs="FrankRuehl" w:hint="cs"/>
          <w:rtl/>
        </w:rPr>
        <w:t>.</w:t>
      </w:r>
    </w:p>
    <w:p w:rsidR="00FC383F" w:rsidRDefault="00FC383F">
      <w:pPr>
        <w:pStyle w:val="P01"/>
        <w:spacing w:before="72"/>
        <w:ind w:left="624" w:right="1134"/>
        <w:rPr>
          <w:rStyle w:val="default"/>
          <w:rFonts w:cs="FrankRuehl"/>
          <w:rtl/>
        </w:rPr>
      </w:pPr>
    </w:p>
    <w:p w:rsidR="00FC383F" w:rsidRDefault="00FC383F">
      <w:pPr>
        <w:pStyle w:val="P01"/>
        <w:tabs>
          <w:tab w:val="clear" w:pos="624"/>
          <w:tab w:val="clear" w:pos="1021"/>
          <w:tab w:val="clear" w:pos="1474"/>
          <w:tab w:val="clear" w:pos="1928"/>
          <w:tab w:val="clear" w:pos="2381"/>
          <w:tab w:val="clear" w:pos="2835"/>
          <w:tab w:val="clear" w:pos="6259"/>
          <w:tab w:val="center" w:pos="4819"/>
        </w:tabs>
        <w:spacing w:before="72"/>
        <w:ind w:left="624" w:right="1134"/>
        <w:rPr>
          <w:rStyle w:val="default"/>
          <w:rFonts w:cs="FrankRuehl"/>
          <w:rtl/>
        </w:rPr>
      </w:pPr>
      <w:r>
        <w:rPr>
          <w:rStyle w:val="default"/>
          <w:rFonts w:cs="FrankRuehl"/>
          <w:rtl/>
        </w:rPr>
        <w:t>ה</w:t>
      </w:r>
      <w:r>
        <w:rPr>
          <w:rStyle w:val="default"/>
          <w:rFonts w:cs="FrankRuehl" w:hint="cs"/>
          <w:rtl/>
        </w:rPr>
        <w:t>' בטבת תשנ"ו (28 בדצמבר 1995)</w:t>
      </w:r>
      <w:r>
        <w:rPr>
          <w:rStyle w:val="default"/>
          <w:rFonts w:cs="FrankRuehl"/>
          <w:rtl/>
        </w:rPr>
        <w:tab/>
      </w:r>
      <w:r>
        <w:rPr>
          <w:rStyle w:val="default"/>
          <w:rFonts w:cs="FrankRuehl" w:hint="cs"/>
          <w:rtl/>
        </w:rPr>
        <w:t>משה שחל</w:t>
      </w:r>
    </w:p>
    <w:p w:rsidR="00FC383F" w:rsidRDefault="00FC383F">
      <w:pPr>
        <w:pStyle w:val="sig-1"/>
        <w:widowControl/>
        <w:ind w:left="0" w:right="1134"/>
        <w:rPr>
          <w:rFonts w:hint="cs"/>
          <w:rtl/>
        </w:rPr>
      </w:pPr>
      <w:r>
        <w:rPr>
          <w:rtl/>
        </w:rPr>
        <w:tab/>
      </w:r>
      <w:r>
        <w:rPr>
          <w:rtl/>
        </w:rPr>
        <w:tab/>
      </w:r>
      <w:r>
        <w:rPr>
          <w:rtl/>
        </w:rPr>
        <w:tab/>
      </w:r>
      <w:r>
        <w:rPr>
          <w:rFonts w:hint="cs"/>
          <w:rtl/>
        </w:rPr>
        <w:t>השר לבטחון הפנים</w:t>
      </w:r>
    </w:p>
    <w:p w:rsidR="00FC383F" w:rsidRDefault="00FC383F">
      <w:pPr>
        <w:pStyle w:val="P00"/>
        <w:spacing w:before="72"/>
        <w:ind w:left="0" w:right="1134"/>
        <w:rPr>
          <w:rStyle w:val="default"/>
          <w:rFonts w:cs="FrankRuehl" w:hint="cs"/>
          <w:rtl/>
        </w:rPr>
      </w:pPr>
    </w:p>
    <w:p w:rsidR="00FC383F" w:rsidRDefault="00FC383F">
      <w:pPr>
        <w:pStyle w:val="P00"/>
        <w:spacing w:before="72"/>
        <w:ind w:left="0" w:right="1134"/>
        <w:rPr>
          <w:rStyle w:val="default"/>
          <w:rFonts w:cs="FrankRuehl"/>
          <w:rtl/>
        </w:rPr>
      </w:pPr>
    </w:p>
    <w:p w:rsidR="00FC383F" w:rsidRDefault="00FC383F">
      <w:pPr>
        <w:pStyle w:val="P00"/>
        <w:spacing w:before="72"/>
        <w:ind w:left="0" w:right="1134"/>
        <w:rPr>
          <w:rStyle w:val="default"/>
          <w:rFonts w:cs="FrankRuehl"/>
          <w:rtl/>
        </w:rPr>
      </w:pPr>
      <w:bookmarkStart w:id="9" w:name="LawPartEnd"/>
    </w:p>
    <w:bookmarkEnd w:id="9"/>
    <w:p w:rsidR="00FC383F" w:rsidRDefault="00FC383F">
      <w:pPr>
        <w:pStyle w:val="P00"/>
        <w:spacing w:before="72"/>
        <w:ind w:left="0" w:right="1134"/>
        <w:rPr>
          <w:rStyle w:val="default"/>
          <w:rFonts w:cs="FrankRuehl"/>
          <w:rtl/>
        </w:rPr>
      </w:pPr>
    </w:p>
    <w:sectPr w:rsidR="00FC383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2E5C" w:rsidRDefault="00212E5C">
      <w:r>
        <w:separator/>
      </w:r>
    </w:p>
  </w:endnote>
  <w:endnote w:type="continuationSeparator" w:id="0">
    <w:p w:rsidR="00212E5C" w:rsidRDefault="0021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83F" w:rsidRDefault="00FC383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C383F" w:rsidRDefault="00FC383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C383F" w:rsidRDefault="00FC383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83F" w:rsidRDefault="00FC383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32C1">
      <w:rPr>
        <w:rFonts w:hAnsi="FrankRuehl" w:cs="FrankRuehl"/>
        <w:noProof/>
        <w:sz w:val="24"/>
        <w:szCs w:val="24"/>
        <w:rtl/>
      </w:rPr>
      <w:t>2</w:t>
    </w:r>
    <w:r>
      <w:rPr>
        <w:rFonts w:hAnsi="FrankRuehl" w:cs="FrankRuehl"/>
        <w:sz w:val="24"/>
        <w:szCs w:val="24"/>
        <w:rtl/>
      </w:rPr>
      <w:fldChar w:fldCharType="end"/>
    </w:r>
  </w:p>
  <w:p w:rsidR="00FC383F" w:rsidRDefault="00FC383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C383F" w:rsidRDefault="00FC383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2E5C" w:rsidRDefault="00212E5C">
      <w:pPr>
        <w:spacing w:before="60" w:line="240" w:lineRule="auto"/>
        <w:ind w:right="1134"/>
      </w:pPr>
      <w:r>
        <w:separator/>
      </w:r>
    </w:p>
  </w:footnote>
  <w:footnote w:type="continuationSeparator" w:id="0">
    <w:p w:rsidR="00212E5C" w:rsidRDefault="00212E5C">
      <w:r>
        <w:continuationSeparator/>
      </w:r>
    </w:p>
  </w:footnote>
  <w:footnote w:id="1">
    <w:p w:rsidR="00FC383F" w:rsidRDefault="00FC38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 xml:space="preserve">ק"ת </w:t>
        </w:r>
        <w:r>
          <w:rPr>
            <w:rStyle w:val="Hyperlink"/>
            <w:rFonts w:hint="cs"/>
            <w:sz w:val="20"/>
            <w:rtl/>
          </w:rPr>
          <w:t>ת</w:t>
        </w:r>
        <w:r>
          <w:rPr>
            <w:rStyle w:val="Hyperlink"/>
            <w:rFonts w:hint="cs"/>
            <w:sz w:val="20"/>
            <w:rtl/>
          </w:rPr>
          <w:t>שנ"ו מס' 5734</w:t>
        </w:r>
      </w:hyperlink>
      <w:r>
        <w:rPr>
          <w:rFonts w:hint="cs"/>
          <w:sz w:val="20"/>
          <w:rtl/>
        </w:rPr>
        <w:t xml:space="preserve"> מיום 1.2.1996 עמ' 525.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83F" w:rsidRDefault="00FC38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רישוי עסקים (אבטחה מפני שוד והתפרצות בבנקים), תשנ"ו–1996</w:t>
    </w:r>
  </w:p>
  <w:p w:rsidR="00FC383F" w:rsidRDefault="00FC38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C383F" w:rsidRDefault="00FC383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83F" w:rsidRDefault="00FC38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רישוי עסקים (אבטחה מפני שוד והתפרצות בבנקים), תשנ"ו</w:t>
    </w:r>
    <w:r>
      <w:rPr>
        <w:rFonts w:hAnsi="FrankRuehl" w:cs="FrankRuehl" w:hint="cs"/>
        <w:color w:val="000000"/>
        <w:sz w:val="28"/>
        <w:szCs w:val="28"/>
        <w:rtl/>
      </w:rPr>
      <w:t>-</w:t>
    </w:r>
    <w:r>
      <w:rPr>
        <w:rFonts w:hAnsi="FrankRuehl" w:cs="FrankRuehl"/>
        <w:color w:val="000000"/>
        <w:sz w:val="28"/>
        <w:szCs w:val="28"/>
        <w:rtl/>
      </w:rPr>
      <w:t>1996</w:t>
    </w:r>
  </w:p>
  <w:p w:rsidR="00FC383F" w:rsidRDefault="00FC38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C383F" w:rsidRDefault="00FC383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383F"/>
    <w:rsid w:val="000144E6"/>
    <w:rsid w:val="00212E5C"/>
    <w:rsid w:val="00CD60E7"/>
    <w:rsid w:val="00E039D0"/>
    <w:rsid w:val="00E332C1"/>
    <w:rsid w:val="00FC38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C1E0601-DAEC-496C-8D8B-657B2A8E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7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1/212</vt:lpstr>
    </vt:vector>
  </TitlesOfParts>
  <Company/>
  <LinksUpToDate>false</LinksUpToDate>
  <CharactersWithSpaces>4508</CharactersWithSpaces>
  <SharedDoc>false</SharedDoc>
  <HLinks>
    <vt:vector size="60" baseType="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8323083</vt:i4>
      </vt:variant>
      <vt:variant>
        <vt:i4>0</vt:i4>
      </vt:variant>
      <vt:variant>
        <vt:i4>0</vt:i4>
      </vt:variant>
      <vt:variant>
        <vt:i4>5</vt:i4>
      </vt:variant>
      <vt:variant>
        <vt:lpwstr>http://www.nevo.co.il/Law_word/law06/TAK-5734.pdf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1/212</dc:title>
  <dc:subject/>
  <dc:creator>user</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רישוי עסקים (אבטחה מפני שוד והתפרצות בבנקים), תשנ"ו-1996</vt:lpwstr>
  </property>
  <property fmtid="{D5CDD505-2E9C-101B-9397-08002B2CF9AE}" pid="5" name="LAWNUMBER">
    <vt:lpwstr>0027</vt:lpwstr>
  </property>
  <property fmtid="{D5CDD505-2E9C-101B-9397-08002B2CF9AE}" pid="6" name="TYPE">
    <vt:lpwstr>01</vt:lpwstr>
  </property>
  <property fmtid="{D5CDD505-2E9C-101B-9397-08002B2CF9AE}" pid="7" name="MEKOR_NAME1">
    <vt:lpwstr>חוק רישוי עסקים</vt:lpwstr>
  </property>
  <property fmtid="{D5CDD505-2E9C-101B-9397-08002B2CF9AE}" pid="8" name="MEKOR_SAIF1">
    <vt:lpwstr>11X</vt:lpwstr>
  </property>
  <property fmtid="{D5CDD505-2E9C-101B-9397-08002B2CF9AE}" pid="9" name="NOSE11">
    <vt:lpwstr>רשויות ומשפט מנהלי</vt:lpwstr>
  </property>
  <property fmtid="{D5CDD505-2E9C-101B-9397-08002B2CF9AE}" pid="10" name="NOSE21">
    <vt:lpwstr>רישוי</vt:lpwstr>
  </property>
  <property fmtid="{D5CDD505-2E9C-101B-9397-08002B2CF9AE}" pid="11" name="NOSE31">
    <vt:lpwstr>רישוי עסקים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