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31EC" w:rsidRDefault="009231EC">
      <w:pPr>
        <w:pStyle w:val="big-header"/>
        <w:ind w:left="0" w:right="1134"/>
        <w:rPr>
          <w:rFonts w:cs="FrankRuehl"/>
          <w:sz w:val="32"/>
        </w:rPr>
      </w:pPr>
      <w:r>
        <w:rPr>
          <w:rFonts w:cs="FrankRuehl" w:hint="cs"/>
          <w:sz w:val="32"/>
          <w:rtl/>
        </w:rPr>
        <w:t>תקנות רישוי עסקים (ריכוזי מלחים בשפכים תעשייתיים)</w:t>
      </w:r>
      <w:r>
        <w:rPr>
          <w:rFonts w:cs="FrankRuehl"/>
          <w:sz w:val="32"/>
          <w:rtl/>
        </w:rPr>
        <w:t xml:space="preserve">, </w:t>
      </w:r>
      <w:r>
        <w:rPr>
          <w:rFonts w:cs="FrankRuehl" w:hint="cs"/>
          <w:sz w:val="32"/>
          <w:rtl/>
        </w:rPr>
        <w:t>תשס"ג-2003</w:t>
      </w:r>
    </w:p>
    <w:p w:rsidR="006A2459" w:rsidRPr="006A2459" w:rsidRDefault="006A2459" w:rsidP="006A2459">
      <w:pPr>
        <w:spacing w:line="320" w:lineRule="auto"/>
        <w:jc w:val="left"/>
        <w:rPr>
          <w:rFonts w:cs="FrankRuehl"/>
          <w:szCs w:val="26"/>
          <w:rtl/>
        </w:rPr>
      </w:pPr>
    </w:p>
    <w:p w:rsidR="006A2459" w:rsidRDefault="006A2459" w:rsidP="006A2459">
      <w:pPr>
        <w:spacing w:line="320" w:lineRule="auto"/>
        <w:jc w:val="left"/>
        <w:rPr>
          <w:rtl/>
        </w:rPr>
      </w:pPr>
    </w:p>
    <w:p w:rsidR="006A2459" w:rsidRPr="006A2459" w:rsidRDefault="006A2459" w:rsidP="006A2459">
      <w:pPr>
        <w:spacing w:line="320" w:lineRule="auto"/>
        <w:jc w:val="left"/>
        <w:rPr>
          <w:rFonts w:cs="Miriam"/>
          <w:szCs w:val="22"/>
          <w:rtl/>
        </w:rPr>
      </w:pPr>
      <w:r w:rsidRPr="006A2459">
        <w:rPr>
          <w:rFonts w:cs="Miriam"/>
          <w:szCs w:val="22"/>
          <w:rtl/>
        </w:rPr>
        <w:t>רשויות ומשפט מנהלי</w:t>
      </w:r>
      <w:r w:rsidRPr="006A2459">
        <w:rPr>
          <w:rFonts w:cs="FrankRuehl"/>
          <w:szCs w:val="26"/>
          <w:rtl/>
        </w:rPr>
        <w:t xml:space="preserve"> – רישוי – רישוי עסקים</w:t>
      </w:r>
    </w:p>
    <w:p w:rsidR="009231EC" w:rsidRDefault="009231EC">
      <w:pPr>
        <w:pStyle w:val="big-header"/>
        <w:ind w:left="0" w:right="1134"/>
        <w:rPr>
          <w:rFonts w:cs="FrankRuehl"/>
          <w:rtl/>
        </w:rPr>
      </w:pPr>
      <w:r>
        <w:rPr>
          <w:rFonts w:cs="FrankRuehl"/>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231EC" w:rsidRPr="009231EC">
        <w:tblPrEx>
          <w:tblCellMar>
            <w:top w:w="0" w:type="dxa"/>
            <w:bottom w:w="0" w:type="dxa"/>
          </w:tblCellMar>
        </w:tblPrEx>
        <w:tc>
          <w:tcPr>
            <w:tcW w:w="1247" w:type="dxa"/>
          </w:tcPr>
          <w:p w:rsidR="009231EC" w:rsidRPr="009231EC" w:rsidRDefault="009231EC" w:rsidP="009231EC">
            <w:pPr>
              <w:spacing w:line="240" w:lineRule="auto"/>
              <w:jc w:val="left"/>
              <w:rPr>
                <w:rFonts w:cs="Frankruhel"/>
                <w:sz w:val="24"/>
                <w:rtl/>
              </w:rPr>
            </w:pPr>
            <w:r>
              <w:rPr>
                <w:sz w:val="24"/>
                <w:rtl/>
              </w:rPr>
              <w:t xml:space="preserve">סעיף 1 </w:t>
            </w:r>
          </w:p>
        </w:tc>
        <w:tc>
          <w:tcPr>
            <w:tcW w:w="5669" w:type="dxa"/>
          </w:tcPr>
          <w:p w:rsidR="009231EC" w:rsidRPr="009231EC" w:rsidRDefault="009231EC" w:rsidP="009231EC">
            <w:pPr>
              <w:spacing w:line="240" w:lineRule="auto"/>
              <w:jc w:val="left"/>
              <w:rPr>
                <w:rFonts w:cs="Frankruhel"/>
                <w:sz w:val="24"/>
                <w:rtl/>
              </w:rPr>
            </w:pPr>
            <w:r>
              <w:rPr>
                <w:sz w:val="24"/>
                <w:rtl/>
              </w:rPr>
              <w:t>הגדרות</w:t>
            </w:r>
          </w:p>
        </w:tc>
        <w:tc>
          <w:tcPr>
            <w:tcW w:w="567" w:type="dxa"/>
          </w:tcPr>
          <w:p w:rsidR="009231EC" w:rsidRPr="009231EC" w:rsidRDefault="009231EC" w:rsidP="009231EC">
            <w:pPr>
              <w:spacing w:line="240" w:lineRule="auto"/>
              <w:jc w:val="left"/>
              <w:rPr>
                <w:rStyle w:val="Hyperlink"/>
                <w:rtl/>
              </w:rPr>
            </w:pPr>
            <w:hyperlink w:anchor="Seif1" w:tooltip="הגדרות" w:history="1">
              <w:r w:rsidRPr="009231EC">
                <w:rPr>
                  <w:rStyle w:val="Hyperlink"/>
                </w:rPr>
                <w:t>Go</w:t>
              </w:r>
            </w:hyperlink>
          </w:p>
        </w:tc>
        <w:tc>
          <w:tcPr>
            <w:tcW w:w="850" w:type="dxa"/>
          </w:tcPr>
          <w:p w:rsidR="009231EC" w:rsidRPr="009231EC" w:rsidRDefault="009231EC" w:rsidP="009231E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231EC" w:rsidRPr="009231EC">
        <w:tblPrEx>
          <w:tblCellMar>
            <w:top w:w="0" w:type="dxa"/>
            <w:bottom w:w="0" w:type="dxa"/>
          </w:tblCellMar>
        </w:tblPrEx>
        <w:tc>
          <w:tcPr>
            <w:tcW w:w="1247" w:type="dxa"/>
          </w:tcPr>
          <w:p w:rsidR="009231EC" w:rsidRPr="009231EC" w:rsidRDefault="009231EC" w:rsidP="009231EC">
            <w:pPr>
              <w:spacing w:line="240" w:lineRule="auto"/>
              <w:jc w:val="left"/>
              <w:rPr>
                <w:rFonts w:cs="Frankruhel"/>
                <w:sz w:val="24"/>
                <w:rtl/>
              </w:rPr>
            </w:pPr>
            <w:r>
              <w:rPr>
                <w:sz w:val="24"/>
                <w:rtl/>
              </w:rPr>
              <w:t xml:space="preserve">סעיף 2 </w:t>
            </w:r>
          </w:p>
        </w:tc>
        <w:tc>
          <w:tcPr>
            <w:tcW w:w="5669" w:type="dxa"/>
          </w:tcPr>
          <w:p w:rsidR="009231EC" w:rsidRPr="009231EC" w:rsidRDefault="009231EC" w:rsidP="009231EC">
            <w:pPr>
              <w:spacing w:line="240" w:lineRule="auto"/>
              <w:jc w:val="left"/>
              <w:rPr>
                <w:rFonts w:cs="Frankruhel"/>
                <w:sz w:val="24"/>
                <w:rtl/>
              </w:rPr>
            </w:pPr>
            <w:r>
              <w:rPr>
                <w:sz w:val="24"/>
                <w:rtl/>
              </w:rPr>
              <w:t>ריכוז בשפכים</w:t>
            </w:r>
          </w:p>
        </w:tc>
        <w:tc>
          <w:tcPr>
            <w:tcW w:w="567" w:type="dxa"/>
          </w:tcPr>
          <w:p w:rsidR="009231EC" w:rsidRPr="009231EC" w:rsidRDefault="009231EC" w:rsidP="009231EC">
            <w:pPr>
              <w:spacing w:line="240" w:lineRule="auto"/>
              <w:jc w:val="left"/>
              <w:rPr>
                <w:rStyle w:val="Hyperlink"/>
                <w:rtl/>
              </w:rPr>
            </w:pPr>
            <w:hyperlink w:anchor="Seif2" w:tooltip="ריכוז בשפכים" w:history="1">
              <w:r w:rsidRPr="009231EC">
                <w:rPr>
                  <w:rStyle w:val="Hyperlink"/>
                </w:rPr>
                <w:t>Go</w:t>
              </w:r>
            </w:hyperlink>
          </w:p>
        </w:tc>
        <w:tc>
          <w:tcPr>
            <w:tcW w:w="850" w:type="dxa"/>
          </w:tcPr>
          <w:p w:rsidR="009231EC" w:rsidRPr="009231EC" w:rsidRDefault="009231EC" w:rsidP="009231E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231EC" w:rsidRPr="009231EC">
        <w:tblPrEx>
          <w:tblCellMar>
            <w:top w:w="0" w:type="dxa"/>
            <w:bottom w:w="0" w:type="dxa"/>
          </w:tblCellMar>
        </w:tblPrEx>
        <w:tc>
          <w:tcPr>
            <w:tcW w:w="1247" w:type="dxa"/>
          </w:tcPr>
          <w:p w:rsidR="009231EC" w:rsidRPr="009231EC" w:rsidRDefault="009231EC" w:rsidP="009231EC">
            <w:pPr>
              <w:spacing w:line="240" w:lineRule="auto"/>
              <w:jc w:val="left"/>
              <w:rPr>
                <w:rFonts w:cs="Frankruhel"/>
                <w:sz w:val="24"/>
                <w:rtl/>
              </w:rPr>
            </w:pPr>
            <w:r>
              <w:rPr>
                <w:sz w:val="24"/>
                <w:rtl/>
              </w:rPr>
              <w:t xml:space="preserve">סעיף 3 </w:t>
            </w:r>
          </w:p>
        </w:tc>
        <w:tc>
          <w:tcPr>
            <w:tcW w:w="5669" w:type="dxa"/>
          </w:tcPr>
          <w:p w:rsidR="009231EC" w:rsidRPr="009231EC" w:rsidRDefault="009231EC" w:rsidP="009231EC">
            <w:pPr>
              <w:spacing w:line="240" w:lineRule="auto"/>
              <w:jc w:val="left"/>
              <w:rPr>
                <w:rFonts w:cs="Frankruhel"/>
                <w:sz w:val="24"/>
                <w:rtl/>
              </w:rPr>
            </w:pPr>
            <w:r>
              <w:rPr>
                <w:sz w:val="24"/>
                <w:rtl/>
              </w:rPr>
              <w:t>החמרת ערכים</w:t>
            </w:r>
          </w:p>
        </w:tc>
        <w:tc>
          <w:tcPr>
            <w:tcW w:w="567" w:type="dxa"/>
          </w:tcPr>
          <w:p w:rsidR="009231EC" w:rsidRPr="009231EC" w:rsidRDefault="009231EC" w:rsidP="009231EC">
            <w:pPr>
              <w:spacing w:line="240" w:lineRule="auto"/>
              <w:jc w:val="left"/>
              <w:rPr>
                <w:rStyle w:val="Hyperlink"/>
                <w:rtl/>
              </w:rPr>
            </w:pPr>
            <w:hyperlink w:anchor="Seif3" w:tooltip="החמרת ערכים" w:history="1">
              <w:r w:rsidRPr="009231EC">
                <w:rPr>
                  <w:rStyle w:val="Hyperlink"/>
                </w:rPr>
                <w:t>Go</w:t>
              </w:r>
            </w:hyperlink>
          </w:p>
        </w:tc>
        <w:tc>
          <w:tcPr>
            <w:tcW w:w="850" w:type="dxa"/>
          </w:tcPr>
          <w:p w:rsidR="009231EC" w:rsidRPr="009231EC" w:rsidRDefault="009231EC" w:rsidP="009231E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231EC" w:rsidRPr="009231EC">
        <w:tblPrEx>
          <w:tblCellMar>
            <w:top w:w="0" w:type="dxa"/>
            <w:bottom w:w="0" w:type="dxa"/>
          </w:tblCellMar>
        </w:tblPrEx>
        <w:tc>
          <w:tcPr>
            <w:tcW w:w="1247" w:type="dxa"/>
          </w:tcPr>
          <w:p w:rsidR="009231EC" w:rsidRPr="009231EC" w:rsidRDefault="009231EC" w:rsidP="009231EC">
            <w:pPr>
              <w:spacing w:line="240" w:lineRule="auto"/>
              <w:jc w:val="left"/>
              <w:rPr>
                <w:rFonts w:cs="Frankruhel"/>
                <w:sz w:val="24"/>
                <w:rtl/>
              </w:rPr>
            </w:pPr>
            <w:r>
              <w:rPr>
                <w:sz w:val="24"/>
                <w:rtl/>
              </w:rPr>
              <w:t xml:space="preserve">סעיף 4 </w:t>
            </w:r>
          </w:p>
        </w:tc>
        <w:tc>
          <w:tcPr>
            <w:tcW w:w="5669" w:type="dxa"/>
          </w:tcPr>
          <w:p w:rsidR="009231EC" w:rsidRPr="009231EC" w:rsidRDefault="009231EC" w:rsidP="009231EC">
            <w:pPr>
              <w:spacing w:line="240" w:lineRule="auto"/>
              <w:jc w:val="left"/>
              <w:rPr>
                <w:rFonts w:cs="Frankruhel"/>
                <w:sz w:val="24"/>
                <w:rtl/>
              </w:rPr>
            </w:pPr>
            <w:r>
              <w:rPr>
                <w:sz w:val="24"/>
                <w:rtl/>
              </w:rPr>
              <w:t>הקלה בערכים</w:t>
            </w:r>
          </w:p>
        </w:tc>
        <w:tc>
          <w:tcPr>
            <w:tcW w:w="567" w:type="dxa"/>
          </w:tcPr>
          <w:p w:rsidR="009231EC" w:rsidRPr="009231EC" w:rsidRDefault="009231EC" w:rsidP="009231EC">
            <w:pPr>
              <w:spacing w:line="240" w:lineRule="auto"/>
              <w:jc w:val="left"/>
              <w:rPr>
                <w:rStyle w:val="Hyperlink"/>
                <w:rtl/>
              </w:rPr>
            </w:pPr>
            <w:hyperlink w:anchor="Seif4" w:tooltip="הקלה בערכים" w:history="1">
              <w:r w:rsidRPr="009231EC">
                <w:rPr>
                  <w:rStyle w:val="Hyperlink"/>
                </w:rPr>
                <w:t>Go</w:t>
              </w:r>
            </w:hyperlink>
          </w:p>
        </w:tc>
        <w:tc>
          <w:tcPr>
            <w:tcW w:w="850" w:type="dxa"/>
          </w:tcPr>
          <w:p w:rsidR="009231EC" w:rsidRPr="009231EC" w:rsidRDefault="009231EC" w:rsidP="009231E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231EC" w:rsidRPr="009231EC">
        <w:tblPrEx>
          <w:tblCellMar>
            <w:top w:w="0" w:type="dxa"/>
            <w:bottom w:w="0" w:type="dxa"/>
          </w:tblCellMar>
        </w:tblPrEx>
        <w:tc>
          <w:tcPr>
            <w:tcW w:w="1247" w:type="dxa"/>
          </w:tcPr>
          <w:p w:rsidR="009231EC" w:rsidRPr="009231EC" w:rsidRDefault="009231EC" w:rsidP="009231EC">
            <w:pPr>
              <w:spacing w:line="240" w:lineRule="auto"/>
              <w:jc w:val="left"/>
              <w:rPr>
                <w:rFonts w:cs="Frankruhel"/>
                <w:sz w:val="24"/>
                <w:rtl/>
              </w:rPr>
            </w:pPr>
            <w:r>
              <w:rPr>
                <w:sz w:val="24"/>
                <w:rtl/>
              </w:rPr>
              <w:t xml:space="preserve">סעיף 5 </w:t>
            </w:r>
          </w:p>
        </w:tc>
        <w:tc>
          <w:tcPr>
            <w:tcW w:w="5669" w:type="dxa"/>
          </w:tcPr>
          <w:p w:rsidR="009231EC" w:rsidRPr="009231EC" w:rsidRDefault="009231EC" w:rsidP="009231EC">
            <w:pPr>
              <w:spacing w:line="240" w:lineRule="auto"/>
              <w:jc w:val="left"/>
              <w:rPr>
                <w:rFonts w:cs="Frankruhel"/>
                <w:sz w:val="24"/>
                <w:rtl/>
              </w:rPr>
            </w:pPr>
            <w:r>
              <w:rPr>
                <w:sz w:val="24"/>
                <w:rtl/>
              </w:rPr>
              <w:t>עונשין</w:t>
            </w:r>
          </w:p>
        </w:tc>
        <w:tc>
          <w:tcPr>
            <w:tcW w:w="567" w:type="dxa"/>
          </w:tcPr>
          <w:p w:rsidR="009231EC" w:rsidRPr="009231EC" w:rsidRDefault="009231EC" w:rsidP="009231EC">
            <w:pPr>
              <w:spacing w:line="240" w:lineRule="auto"/>
              <w:jc w:val="left"/>
              <w:rPr>
                <w:rStyle w:val="Hyperlink"/>
                <w:rtl/>
              </w:rPr>
            </w:pPr>
            <w:hyperlink w:anchor="Seif5" w:tooltip="עונשין" w:history="1">
              <w:r w:rsidRPr="009231EC">
                <w:rPr>
                  <w:rStyle w:val="Hyperlink"/>
                </w:rPr>
                <w:t>Go</w:t>
              </w:r>
            </w:hyperlink>
          </w:p>
        </w:tc>
        <w:tc>
          <w:tcPr>
            <w:tcW w:w="850" w:type="dxa"/>
          </w:tcPr>
          <w:p w:rsidR="009231EC" w:rsidRPr="009231EC" w:rsidRDefault="009231EC" w:rsidP="009231E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231EC" w:rsidRPr="009231EC">
        <w:tblPrEx>
          <w:tblCellMar>
            <w:top w:w="0" w:type="dxa"/>
            <w:bottom w:w="0" w:type="dxa"/>
          </w:tblCellMar>
        </w:tblPrEx>
        <w:tc>
          <w:tcPr>
            <w:tcW w:w="1247" w:type="dxa"/>
          </w:tcPr>
          <w:p w:rsidR="009231EC" w:rsidRPr="009231EC" w:rsidRDefault="009231EC" w:rsidP="009231EC">
            <w:pPr>
              <w:spacing w:line="240" w:lineRule="auto"/>
              <w:jc w:val="left"/>
              <w:rPr>
                <w:rFonts w:cs="Frankruhel"/>
                <w:sz w:val="24"/>
                <w:rtl/>
              </w:rPr>
            </w:pPr>
            <w:r>
              <w:rPr>
                <w:sz w:val="24"/>
                <w:rtl/>
              </w:rPr>
              <w:t xml:space="preserve">סעיף 6 </w:t>
            </w:r>
          </w:p>
        </w:tc>
        <w:tc>
          <w:tcPr>
            <w:tcW w:w="5669" w:type="dxa"/>
          </w:tcPr>
          <w:p w:rsidR="009231EC" w:rsidRPr="009231EC" w:rsidRDefault="009231EC" w:rsidP="009231EC">
            <w:pPr>
              <w:spacing w:line="240" w:lineRule="auto"/>
              <w:jc w:val="left"/>
              <w:rPr>
                <w:rFonts w:cs="Frankruhel"/>
                <w:sz w:val="24"/>
                <w:rtl/>
              </w:rPr>
            </w:pPr>
            <w:r>
              <w:rPr>
                <w:sz w:val="24"/>
                <w:rtl/>
              </w:rPr>
              <w:t>סייג לתחולה</w:t>
            </w:r>
          </w:p>
        </w:tc>
        <w:tc>
          <w:tcPr>
            <w:tcW w:w="567" w:type="dxa"/>
          </w:tcPr>
          <w:p w:rsidR="009231EC" w:rsidRPr="009231EC" w:rsidRDefault="009231EC" w:rsidP="009231EC">
            <w:pPr>
              <w:spacing w:line="240" w:lineRule="auto"/>
              <w:jc w:val="left"/>
              <w:rPr>
                <w:rStyle w:val="Hyperlink"/>
                <w:rtl/>
              </w:rPr>
            </w:pPr>
            <w:hyperlink w:anchor="Seif6" w:tooltip="סייג לתחולה" w:history="1">
              <w:r w:rsidRPr="009231EC">
                <w:rPr>
                  <w:rStyle w:val="Hyperlink"/>
                </w:rPr>
                <w:t>Go</w:t>
              </w:r>
            </w:hyperlink>
          </w:p>
        </w:tc>
        <w:tc>
          <w:tcPr>
            <w:tcW w:w="850" w:type="dxa"/>
          </w:tcPr>
          <w:p w:rsidR="009231EC" w:rsidRPr="009231EC" w:rsidRDefault="009231EC" w:rsidP="009231E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231EC" w:rsidRPr="009231EC">
        <w:tblPrEx>
          <w:tblCellMar>
            <w:top w:w="0" w:type="dxa"/>
            <w:bottom w:w="0" w:type="dxa"/>
          </w:tblCellMar>
        </w:tblPrEx>
        <w:tc>
          <w:tcPr>
            <w:tcW w:w="1247" w:type="dxa"/>
          </w:tcPr>
          <w:p w:rsidR="009231EC" w:rsidRPr="009231EC" w:rsidRDefault="009231EC" w:rsidP="009231EC">
            <w:pPr>
              <w:spacing w:line="240" w:lineRule="auto"/>
              <w:jc w:val="left"/>
              <w:rPr>
                <w:rFonts w:cs="Frankruhel"/>
                <w:sz w:val="24"/>
                <w:rtl/>
              </w:rPr>
            </w:pPr>
            <w:r>
              <w:rPr>
                <w:sz w:val="24"/>
                <w:rtl/>
              </w:rPr>
              <w:t xml:space="preserve">סעיף 7 </w:t>
            </w:r>
          </w:p>
        </w:tc>
        <w:tc>
          <w:tcPr>
            <w:tcW w:w="5669" w:type="dxa"/>
          </w:tcPr>
          <w:p w:rsidR="009231EC" w:rsidRPr="009231EC" w:rsidRDefault="009231EC" w:rsidP="009231EC">
            <w:pPr>
              <w:spacing w:line="240" w:lineRule="auto"/>
              <w:jc w:val="left"/>
              <w:rPr>
                <w:rFonts w:cs="Frankruhel"/>
                <w:sz w:val="24"/>
                <w:rtl/>
              </w:rPr>
            </w:pPr>
            <w:r>
              <w:rPr>
                <w:sz w:val="24"/>
                <w:rtl/>
              </w:rPr>
              <w:t>שמירת דינים</w:t>
            </w:r>
          </w:p>
        </w:tc>
        <w:tc>
          <w:tcPr>
            <w:tcW w:w="567" w:type="dxa"/>
          </w:tcPr>
          <w:p w:rsidR="009231EC" w:rsidRPr="009231EC" w:rsidRDefault="009231EC" w:rsidP="009231EC">
            <w:pPr>
              <w:spacing w:line="240" w:lineRule="auto"/>
              <w:jc w:val="left"/>
              <w:rPr>
                <w:rStyle w:val="Hyperlink"/>
                <w:rtl/>
              </w:rPr>
            </w:pPr>
            <w:hyperlink w:anchor="Seif7" w:tooltip="שמירת דינים" w:history="1">
              <w:r w:rsidRPr="009231EC">
                <w:rPr>
                  <w:rStyle w:val="Hyperlink"/>
                </w:rPr>
                <w:t>Go</w:t>
              </w:r>
            </w:hyperlink>
          </w:p>
        </w:tc>
        <w:tc>
          <w:tcPr>
            <w:tcW w:w="850" w:type="dxa"/>
          </w:tcPr>
          <w:p w:rsidR="009231EC" w:rsidRPr="009231EC" w:rsidRDefault="009231EC" w:rsidP="009231E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231EC" w:rsidRPr="009231EC">
        <w:tblPrEx>
          <w:tblCellMar>
            <w:top w:w="0" w:type="dxa"/>
            <w:bottom w:w="0" w:type="dxa"/>
          </w:tblCellMar>
        </w:tblPrEx>
        <w:tc>
          <w:tcPr>
            <w:tcW w:w="1247" w:type="dxa"/>
          </w:tcPr>
          <w:p w:rsidR="009231EC" w:rsidRPr="009231EC" w:rsidRDefault="009231EC" w:rsidP="009231EC">
            <w:pPr>
              <w:spacing w:line="240" w:lineRule="auto"/>
              <w:jc w:val="left"/>
              <w:rPr>
                <w:rFonts w:cs="Frankruhel"/>
                <w:sz w:val="24"/>
                <w:rtl/>
              </w:rPr>
            </w:pPr>
            <w:r>
              <w:rPr>
                <w:sz w:val="24"/>
                <w:rtl/>
              </w:rPr>
              <w:t xml:space="preserve">סעיף 8 </w:t>
            </w:r>
          </w:p>
        </w:tc>
        <w:tc>
          <w:tcPr>
            <w:tcW w:w="5669" w:type="dxa"/>
          </w:tcPr>
          <w:p w:rsidR="009231EC" w:rsidRPr="009231EC" w:rsidRDefault="009231EC" w:rsidP="009231EC">
            <w:pPr>
              <w:spacing w:line="240" w:lineRule="auto"/>
              <w:jc w:val="left"/>
              <w:rPr>
                <w:rFonts w:cs="Frankruhel"/>
                <w:sz w:val="24"/>
                <w:rtl/>
              </w:rPr>
            </w:pPr>
            <w:r>
              <w:rPr>
                <w:sz w:val="24"/>
                <w:rtl/>
              </w:rPr>
              <w:t>תחילה</w:t>
            </w:r>
          </w:p>
        </w:tc>
        <w:tc>
          <w:tcPr>
            <w:tcW w:w="567" w:type="dxa"/>
          </w:tcPr>
          <w:p w:rsidR="009231EC" w:rsidRPr="009231EC" w:rsidRDefault="009231EC" w:rsidP="009231EC">
            <w:pPr>
              <w:spacing w:line="240" w:lineRule="auto"/>
              <w:jc w:val="left"/>
              <w:rPr>
                <w:rStyle w:val="Hyperlink"/>
                <w:rtl/>
              </w:rPr>
            </w:pPr>
            <w:hyperlink w:anchor="Seif8" w:tooltip="תחילה" w:history="1">
              <w:r w:rsidRPr="009231EC">
                <w:rPr>
                  <w:rStyle w:val="Hyperlink"/>
                </w:rPr>
                <w:t>Go</w:t>
              </w:r>
            </w:hyperlink>
          </w:p>
        </w:tc>
        <w:tc>
          <w:tcPr>
            <w:tcW w:w="850" w:type="dxa"/>
          </w:tcPr>
          <w:p w:rsidR="009231EC" w:rsidRPr="009231EC" w:rsidRDefault="009231EC" w:rsidP="009231E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9231EC" w:rsidRDefault="009231EC">
      <w:pPr>
        <w:pStyle w:val="big-header"/>
        <w:ind w:left="0" w:right="1134"/>
        <w:rPr>
          <w:rFonts w:cs="FrankRuehl"/>
          <w:rtl/>
        </w:rPr>
      </w:pPr>
    </w:p>
    <w:p w:rsidR="009231EC" w:rsidRDefault="009231EC" w:rsidP="006A2459">
      <w:pPr>
        <w:pStyle w:val="big-header"/>
        <w:ind w:left="0" w:right="1134"/>
        <w:rPr>
          <w:rFonts w:cs="FrankRuehl" w:hint="cs"/>
          <w:sz w:val="32"/>
          <w:rtl/>
        </w:rPr>
      </w:pPr>
      <w:r>
        <w:rPr>
          <w:rtl/>
        </w:rPr>
        <w:br w:type="page"/>
      </w:r>
      <w:r>
        <w:rPr>
          <w:rFonts w:cs="FrankRuehl" w:hint="cs"/>
          <w:sz w:val="32"/>
          <w:rtl/>
        </w:rPr>
        <w:lastRenderedPageBreak/>
        <w:t>תקנות רישוי עסקים (ריכוזי מלחים בשפכים תעשייתיים)</w:t>
      </w:r>
      <w:r>
        <w:rPr>
          <w:rFonts w:cs="FrankRuehl"/>
          <w:sz w:val="32"/>
          <w:rtl/>
        </w:rPr>
        <w:t xml:space="preserve">, </w:t>
      </w:r>
      <w:r>
        <w:rPr>
          <w:rFonts w:cs="FrankRuehl" w:hint="cs"/>
          <w:sz w:val="32"/>
          <w:rtl/>
        </w:rPr>
        <w:t>תשס"ג-2003</w:t>
      </w:r>
      <w:r>
        <w:rPr>
          <w:rStyle w:val="default"/>
          <w:sz w:val="22"/>
          <w:szCs w:val="22"/>
          <w:rtl/>
        </w:rPr>
        <w:footnoteReference w:customMarkFollows="1" w:id="1"/>
        <w:t>*</w:t>
      </w:r>
    </w:p>
    <w:p w:rsidR="009231EC" w:rsidRDefault="009231EC">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 xml:space="preserve">וקף סמכותי לפי סעיף 10א לחוק רישוי עסקים, התשכ"ח-1968 (להלן </w:t>
      </w:r>
      <w:r>
        <w:rPr>
          <w:rStyle w:val="default"/>
          <w:rFonts w:cs="FrankRuehl"/>
          <w:rtl/>
        </w:rPr>
        <w:t>–</w:t>
      </w:r>
      <w:r>
        <w:rPr>
          <w:rStyle w:val="default"/>
          <w:rFonts w:cs="FrankRuehl" w:hint="cs"/>
          <w:rtl/>
        </w:rPr>
        <w:t xml:space="preserve"> החוק), לאחר התייעצות עם שר הבריאות ובאישור ועדת הפנים ואיכות הסביבה של הכנסת לפי סעיף 21א(א) לחוק-יסוד: הכנסת, וסעיף 2(ב) לחוק העונשין, התשל"ז-1977, אני מתקינה תקנות אלה:</w:t>
      </w:r>
    </w:p>
    <w:p w:rsidR="009231EC" w:rsidRDefault="009231EC" w:rsidP="009231EC">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0pt;z-index:251654144" o:allowincell="f" filled="f" stroked="f" strokecolor="lime" strokeweight=".25pt">
            <v:textbox style="mso-next-textbox:#_x0000_s1026" inset="0,0,0,0">
              <w:txbxContent>
                <w:p w:rsidR="009231EC" w:rsidRDefault="009231EC">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default"/>
          <w:rFonts w:cs="FrankRuehl"/>
          <w:rtl/>
        </w:rPr>
        <w:t>.</w:t>
      </w:r>
      <w:hyperlink r:id="rId6" w:tooltip="אזכורים" w:history="1">
        <w:r w:rsidRPr="009231EC">
          <w:rPr>
            <w:rStyle w:val="Hyperlink"/>
            <w:rtl/>
          </w:rPr>
          <w:t>*</w:t>
        </w:r>
      </w:hyperlink>
      <w:r>
        <w:rPr>
          <w:rStyle w:val="default"/>
          <w:rFonts w:cs="FrankRuehl"/>
          <w:rtl/>
        </w:rPr>
        <w:tab/>
      </w:r>
      <w:r>
        <w:rPr>
          <w:rStyle w:val="default"/>
          <w:rFonts w:cs="FrankRuehl" w:hint="cs"/>
          <w:rtl/>
        </w:rPr>
        <w:t xml:space="preserve">בתקנות אלה </w:t>
      </w:r>
      <w:r>
        <w:rPr>
          <w:rStyle w:val="default"/>
          <w:rFonts w:cs="FrankRuehl"/>
          <w:rtl/>
        </w:rPr>
        <w:t>–</w:t>
      </w:r>
    </w:p>
    <w:p w:rsidR="009231EC" w:rsidRDefault="009231EC">
      <w:pPr>
        <w:pStyle w:val="P00"/>
        <w:spacing w:before="72"/>
        <w:ind w:left="0" w:right="1134"/>
        <w:rPr>
          <w:rStyle w:val="default"/>
          <w:rFonts w:cs="FrankRuehl" w:hint="cs"/>
          <w:rtl/>
        </w:rPr>
      </w:pPr>
      <w:r>
        <w:rPr>
          <w:rStyle w:val="default"/>
          <w:rFonts w:cs="FrankRuehl" w:hint="cs"/>
          <w:rtl/>
        </w:rPr>
        <w:tab/>
        <w:t xml:space="preserve">"האמצעים הטכנולוגיים הטובים ביותר הקיימים" </w:t>
      </w:r>
      <w:r>
        <w:rPr>
          <w:rStyle w:val="default"/>
          <w:rFonts w:cs="FrankRuehl"/>
          <w:rtl/>
        </w:rPr>
        <w:t>–</w:t>
      </w:r>
      <w:r>
        <w:rPr>
          <w:rStyle w:val="default"/>
          <w:rFonts w:cs="FrankRuehl" w:hint="cs"/>
          <w:rtl/>
        </w:rPr>
        <w:t xml:space="preserve"> הטכנולוגיה העכשווית הזמינה הטובה ביותר למניעת מפגעים ומטרדים ולמניעת זיהום מקורות מים, הנמצאת בשימוש והישימה מבחינה כלכלית;</w:t>
      </w:r>
    </w:p>
    <w:p w:rsidR="009231EC" w:rsidRDefault="009231EC">
      <w:pPr>
        <w:pStyle w:val="P00"/>
        <w:spacing w:before="72"/>
        <w:ind w:left="0" w:right="1134"/>
        <w:rPr>
          <w:rStyle w:val="default"/>
          <w:rFonts w:cs="FrankRuehl" w:hint="cs"/>
          <w:rtl/>
        </w:rPr>
      </w:pPr>
      <w:r>
        <w:rPr>
          <w:rStyle w:val="default"/>
          <w:rFonts w:cs="FrankRuehl" w:hint="cs"/>
          <w:rtl/>
        </w:rPr>
        <w:tab/>
        <w:t xml:space="preserve">"מזהמים" </w:t>
      </w:r>
      <w:r>
        <w:rPr>
          <w:rStyle w:val="default"/>
          <w:rFonts w:cs="FrankRuehl"/>
          <w:rtl/>
        </w:rPr>
        <w:t>–</w:t>
      </w:r>
      <w:r>
        <w:rPr>
          <w:rStyle w:val="default"/>
          <w:rFonts w:cs="FrankRuehl" w:hint="cs"/>
          <w:rtl/>
        </w:rPr>
        <w:t xml:space="preserve"> כלוריד, נתרן, פלואוריד או בורון;</w:t>
      </w:r>
    </w:p>
    <w:p w:rsidR="009231EC" w:rsidRDefault="009231EC">
      <w:pPr>
        <w:pStyle w:val="P00"/>
        <w:spacing w:before="72"/>
        <w:ind w:left="0" w:right="1134"/>
        <w:rPr>
          <w:rStyle w:val="default"/>
          <w:rFonts w:cs="FrankRuehl" w:hint="cs"/>
          <w:rtl/>
        </w:rPr>
      </w:pPr>
      <w:r>
        <w:rPr>
          <w:rStyle w:val="default"/>
          <w:rFonts w:cs="FrankRuehl" w:hint="cs"/>
          <w:rtl/>
        </w:rPr>
        <w:tab/>
        <w:t xml:space="preserve">"מיתקן טיהור" </w:t>
      </w:r>
      <w:r>
        <w:rPr>
          <w:rStyle w:val="default"/>
          <w:rFonts w:cs="FrankRuehl"/>
          <w:rtl/>
        </w:rPr>
        <w:t>–</w:t>
      </w:r>
      <w:r>
        <w:rPr>
          <w:rStyle w:val="default"/>
          <w:rFonts w:cs="FrankRuehl" w:hint="cs"/>
          <w:rtl/>
        </w:rPr>
        <w:t xml:space="preserve"> מיתקן לטיהור שפכים ופסולת נוזלית, הקולט שפכי מפעל ומטהרם, ואשר קולחיו מוחזרים להשקיה חקלאית או להחדרה תת-קרקעית, והכל בהתאם לכל דין;</w:t>
      </w:r>
    </w:p>
    <w:p w:rsidR="009231EC" w:rsidRDefault="009231EC">
      <w:pPr>
        <w:pStyle w:val="P00"/>
        <w:spacing w:before="72"/>
        <w:ind w:left="0" w:right="1134"/>
        <w:rPr>
          <w:rStyle w:val="default"/>
          <w:rFonts w:cs="FrankRuehl" w:hint="cs"/>
          <w:rtl/>
        </w:rPr>
      </w:pPr>
      <w:r>
        <w:rPr>
          <w:rStyle w:val="default"/>
          <w:rFonts w:cs="FrankRuehl" w:hint="cs"/>
          <w:rtl/>
        </w:rPr>
        <w:tab/>
        <w:t xml:space="preserve">"מערכת ביוב" </w:t>
      </w:r>
      <w:r>
        <w:rPr>
          <w:rStyle w:val="default"/>
          <w:rFonts w:cs="FrankRuehl"/>
          <w:rtl/>
        </w:rPr>
        <w:t>–</w:t>
      </w:r>
      <w:r>
        <w:rPr>
          <w:rStyle w:val="default"/>
          <w:rFonts w:cs="FrankRuehl" w:hint="cs"/>
          <w:rtl/>
        </w:rPr>
        <w:t xml:space="preserve"> מערכת המשמשת לאיסוף שפכים ופסולת סניטרית, טיפול בהם וסילוקם;</w:t>
      </w:r>
    </w:p>
    <w:p w:rsidR="009231EC" w:rsidRDefault="009231EC">
      <w:pPr>
        <w:pStyle w:val="P00"/>
        <w:spacing w:before="72"/>
        <w:ind w:left="0" w:right="1134"/>
        <w:rPr>
          <w:rStyle w:val="default"/>
          <w:rFonts w:cs="FrankRuehl" w:hint="cs"/>
          <w:rtl/>
        </w:rPr>
      </w:pPr>
      <w:r>
        <w:rPr>
          <w:rStyle w:val="default"/>
          <w:rFonts w:cs="FrankRuehl" w:hint="cs"/>
          <w:rtl/>
        </w:rPr>
        <w:tab/>
        <w:t xml:space="preserve">"מפעיל" </w:t>
      </w:r>
      <w:r>
        <w:rPr>
          <w:rStyle w:val="default"/>
          <w:rFonts w:cs="FrankRuehl"/>
          <w:rtl/>
        </w:rPr>
        <w:t>–</w:t>
      </w:r>
      <w:r>
        <w:rPr>
          <w:rStyle w:val="default"/>
          <w:rFonts w:cs="FrankRuehl" w:hint="cs"/>
          <w:rtl/>
        </w:rPr>
        <w:t xml:space="preserve"> כל אחד מאלה:</w:t>
      </w:r>
    </w:p>
    <w:p w:rsidR="009231EC" w:rsidRDefault="009231E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בעל רישיון העסק של מפעל;</w:t>
      </w:r>
    </w:p>
    <w:p w:rsidR="009231EC" w:rsidRDefault="009231E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אדם שבבעלותו, בהנהלתו, בהשגחתו או בפיקוחו פועל מפעל;</w:t>
      </w:r>
    </w:p>
    <w:p w:rsidR="009231EC" w:rsidRDefault="009231EC">
      <w:pPr>
        <w:pStyle w:val="P00"/>
        <w:spacing w:before="72"/>
        <w:ind w:left="0" w:right="1134"/>
        <w:rPr>
          <w:rStyle w:val="default"/>
          <w:rFonts w:cs="FrankRuehl" w:hint="cs"/>
          <w:rtl/>
        </w:rPr>
      </w:pPr>
      <w:r>
        <w:rPr>
          <w:rStyle w:val="default"/>
          <w:rFonts w:cs="FrankRuehl" w:hint="cs"/>
          <w:rtl/>
        </w:rPr>
        <w:tab/>
        <w:t xml:space="preserve">"מפעל" </w:t>
      </w:r>
      <w:r>
        <w:rPr>
          <w:rStyle w:val="default"/>
          <w:rFonts w:cs="FrankRuehl"/>
          <w:rtl/>
        </w:rPr>
        <w:t>–</w:t>
      </w:r>
      <w:r>
        <w:rPr>
          <w:rStyle w:val="default"/>
          <w:rFonts w:cs="FrankRuehl" w:hint="cs"/>
          <w:rtl/>
        </w:rPr>
        <w:t xml:space="preserve"> עסק טעון אישוי כמשמעותו בחוק שפורסם לפי צו רישוי עסקים (עסקים טעוני רישוי), התשנ"ה-1995, המזרים מזהמים למיתקן טיהור;</w:t>
      </w:r>
    </w:p>
    <w:p w:rsidR="009231EC" w:rsidRDefault="009231EC">
      <w:pPr>
        <w:pStyle w:val="P00"/>
        <w:spacing w:before="72"/>
        <w:ind w:left="0" w:right="1134"/>
        <w:rPr>
          <w:rStyle w:val="default"/>
          <w:rFonts w:cs="FrankRuehl" w:hint="cs"/>
          <w:rtl/>
        </w:rPr>
      </w:pPr>
      <w:r>
        <w:rPr>
          <w:rStyle w:val="default"/>
          <w:rFonts w:cs="FrankRuehl" w:hint="cs"/>
          <w:rtl/>
        </w:rPr>
        <w:tab/>
        <w:t xml:space="preserve">"נותן האישור" </w:t>
      </w:r>
      <w:r>
        <w:rPr>
          <w:rStyle w:val="default"/>
          <w:rFonts w:cs="FrankRuehl"/>
          <w:rtl/>
        </w:rPr>
        <w:t>–</w:t>
      </w:r>
      <w:r>
        <w:rPr>
          <w:rStyle w:val="default"/>
          <w:rFonts w:cs="FrankRuehl" w:hint="cs"/>
          <w:rtl/>
        </w:rPr>
        <w:t xml:space="preserve"> כמשמעותו בסעיף 6 לחוק;</w:t>
      </w:r>
    </w:p>
    <w:p w:rsidR="009231EC" w:rsidRDefault="009231EC">
      <w:pPr>
        <w:pStyle w:val="P00"/>
        <w:spacing w:before="72"/>
        <w:ind w:left="0" w:right="1134"/>
        <w:rPr>
          <w:rStyle w:val="default"/>
          <w:rFonts w:cs="FrankRuehl" w:hint="cs"/>
          <w:rtl/>
        </w:rPr>
      </w:pPr>
      <w:r>
        <w:rPr>
          <w:rStyle w:val="default"/>
          <w:rFonts w:cs="FrankRuehl" w:hint="cs"/>
          <w:rtl/>
        </w:rPr>
        <w:tab/>
        <w:t xml:space="preserve">"פסולת סניטרית" </w:t>
      </w:r>
      <w:r>
        <w:rPr>
          <w:rStyle w:val="default"/>
          <w:rFonts w:cs="FrankRuehl"/>
          <w:rtl/>
        </w:rPr>
        <w:t>–</w:t>
      </w:r>
      <w:r>
        <w:rPr>
          <w:rStyle w:val="default"/>
          <w:rFonts w:cs="FrankRuehl" w:hint="cs"/>
          <w:rtl/>
        </w:rPr>
        <w:t xml:space="preserve"> פסולת נוזלית המיועדת לסילוק ממפעל באמצעות הזרמה למערכת ביוב, שמקורה בשירותים סניטריים או במטבח למעט שאם מקורה במטבח </w:t>
      </w:r>
      <w:r>
        <w:rPr>
          <w:rStyle w:val="default"/>
          <w:rFonts w:cs="FrankRuehl"/>
          <w:rtl/>
        </w:rPr>
        <w:t>–</w:t>
      </w:r>
      <w:r>
        <w:rPr>
          <w:rStyle w:val="default"/>
          <w:rFonts w:cs="FrankRuehl" w:hint="cs"/>
          <w:rtl/>
        </w:rPr>
        <w:t xml:space="preserve"> לפי טיבה וכמותה לא נדרש לגביה טיפול מקדים לפני כניסתה למערכת הביוב;</w:t>
      </w:r>
    </w:p>
    <w:p w:rsidR="009231EC" w:rsidRDefault="009231EC">
      <w:pPr>
        <w:pStyle w:val="P00"/>
        <w:spacing w:before="72"/>
        <w:ind w:left="0" w:right="1134"/>
        <w:rPr>
          <w:rStyle w:val="default"/>
          <w:rFonts w:cs="FrankRuehl" w:hint="cs"/>
          <w:rtl/>
        </w:rPr>
      </w:pPr>
      <w:r>
        <w:rPr>
          <w:rStyle w:val="default"/>
          <w:rFonts w:cs="FrankRuehl" w:hint="cs"/>
          <w:rtl/>
        </w:rPr>
        <w:tab/>
        <w:t xml:space="preserve">"קולחים" </w:t>
      </w:r>
      <w:r>
        <w:rPr>
          <w:rStyle w:val="default"/>
          <w:rFonts w:cs="FrankRuehl"/>
          <w:rtl/>
        </w:rPr>
        <w:t>–</w:t>
      </w:r>
      <w:r>
        <w:rPr>
          <w:rStyle w:val="default"/>
          <w:rFonts w:cs="FrankRuehl" w:hint="cs"/>
          <w:rtl/>
        </w:rPr>
        <w:t xml:space="preserve"> שפכים מטוהרים לאחר שטופלו במיתקן טיהור;</w:t>
      </w:r>
    </w:p>
    <w:p w:rsidR="009231EC" w:rsidRDefault="009231EC">
      <w:pPr>
        <w:pStyle w:val="P00"/>
        <w:spacing w:before="72"/>
        <w:ind w:left="0" w:right="1134"/>
        <w:rPr>
          <w:rStyle w:val="default"/>
          <w:rFonts w:cs="FrankRuehl" w:hint="cs"/>
          <w:rtl/>
        </w:rPr>
      </w:pPr>
      <w:r>
        <w:rPr>
          <w:rStyle w:val="default"/>
          <w:rFonts w:cs="FrankRuehl" w:hint="cs"/>
          <w:rtl/>
        </w:rPr>
        <w:tab/>
        <w:t xml:space="preserve">"שפכים" </w:t>
      </w:r>
      <w:r>
        <w:rPr>
          <w:rStyle w:val="default"/>
          <w:rFonts w:cs="FrankRuehl"/>
          <w:rtl/>
        </w:rPr>
        <w:t>–</w:t>
      </w:r>
      <w:r>
        <w:rPr>
          <w:rStyle w:val="default"/>
          <w:rFonts w:cs="FrankRuehl" w:hint="cs"/>
          <w:rtl/>
        </w:rPr>
        <w:t xml:space="preserve"> פסולת נוזלית המיועדת לסילוק ממפעל באמצעות הזרמה למערכת ביוב, למעט פסולת סניטרית.</w:t>
      </w:r>
    </w:p>
    <w:p w:rsidR="009231EC" w:rsidRDefault="009231EC" w:rsidP="009231EC">
      <w:pPr>
        <w:pStyle w:val="P00"/>
        <w:spacing w:before="72"/>
        <w:ind w:left="0" w:right="1134"/>
        <w:rPr>
          <w:rStyle w:val="default"/>
          <w:rFonts w:cs="FrankRuehl" w:hint="cs"/>
          <w:rtl/>
        </w:rPr>
      </w:pPr>
      <w:bookmarkStart w:id="1" w:name="Seif2"/>
      <w:bookmarkEnd w:id="1"/>
      <w:r>
        <w:rPr>
          <w:lang w:val="he-IL"/>
        </w:rPr>
        <w:pict>
          <v:rect id="_x0000_s1029" style="position:absolute;left:0;text-align:left;margin-left:464.5pt;margin-top:8.05pt;width:75.05pt;height:12.4pt;z-index:251655168" o:allowincell="f" filled="f" stroked="f" strokecolor="lime" strokeweight=".25pt">
            <v:textbox inset="0,0,0,0">
              <w:txbxContent>
                <w:p w:rsidR="009231EC" w:rsidRDefault="009231EC">
                  <w:pPr>
                    <w:spacing w:line="160" w:lineRule="exact"/>
                    <w:jc w:val="left"/>
                    <w:rPr>
                      <w:rFonts w:cs="Miriam"/>
                      <w:noProof/>
                      <w:sz w:val="18"/>
                      <w:szCs w:val="18"/>
                      <w:rtl/>
                    </w:rPr>
                  </w:pPr>
                  <w:r>
                    <w:rPr>
                      <w:rFonts w:cs="Miriam" w:hint="cs"/>
                      <w:sz w:val="18"/>
                      <w:szCs w:val="18"/>
                      <w:rtl/>
                    </w:rPr>
                    <w:t>ריכוז בשפכים</w:t>
                  </w:r>
                </w:p>
              </w:txbxContent>
            </v:textbox>
            <w10:anchorlock/>
          </v:rect>
        </w:pict>
      </w:r>
      <w:r>
        <w:rPr>
          <w:rStyle w:val="big-number"/>
          <w:rFonts w:cs="Miriam"/>
          <w:rtl/>
        </w:rPr>
        <w:t>2.</w:t>
      </w:r>
      <w:hyperlink r:id="rId7" w:tooltip="אזכורים" w:history="1">
        <w:r w:rsidRPr="009231EC">
          <w:rPr>
            <w:rStyle w:val="Hyperlink"/>
            <w:rtl/>
          </w:rPr>
          <w:t>*</w:t>
        </w:r>
      </w:hyperlink>
      <w:r>
        <w:rPr>
          <w:rStyle w:val="big-number"/>
          <w:rFonts w:cs="Miriam"/>
          <w:rtl/>
        </w:rPr>
        <w:tab/>
      </w:r>
      <w:r>
        <w:rPr>
          <w:rStyle w:val="default"/>
          <w:rFonts w:cs="FrankRuehl" w:hint="cs"/>
          <w:rtl/>
        </w:rPr>
        <w:t>(א)</w:t>
      </w:r>
      <w:r>
        <w:rPr>
          <w:rStyle w:val="default"/>
          <w:rFonts w:cs="FrankRuehl" w:hint="cs"/>
          <w:rtl/>
        </w:rPr>
        <w:tab/>
        <w:t>ריכוז מזהמים בשפכים המוזרמים ממפעל למיתקן טיהור לא יעלה על הערכים המפורטים להלן:</w:t>
      </w:r>
    </w:p>
    <w:p w:rsidR="009231EC" w:rsidRDefault="009231E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כלוריד </w:t>
      </w:r>
      <w:r>
        <w:rPr>
          <w:rStyle w:val="default"/>
          <w:rFonts w:cs="FrankRuehl"/>
          <w:rtl/>
        </w:rPr>
        <w:t>–</w:t>
      </w:r>
      <w:r>
        <w:rPr>
          <w:rStyle w:val="default"/>
          <w:rFonts w:cs="FrankRuehl" w:hint="cs"/>
          <w:rtl/>
        </w:rPr>
        <w:t xml:space="preserve"> 430 מיליגרם לליטר;</w:t>
      </w:r>
    </w:p>
    <w:p w:rsidR="009231EC" w:rsidRDefault="009231E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נתרן </w:t>
      </w:r>
      <w:r>
        <w:rPr>
          <w:rStyle w:val="default"/>
          <w:rFonts w:cs="FrankRuehl"/>
          <w:rtl/>
        </w:rPr>
        <w:t>–</w:t>
      </w:r>
      <w:r>
        <w:rPr>
          <w:rStyle w:val="default"/>
          <w:rFonts w:cs="FrankRuehl" w:hint="cs"/>
          <w:rtl/>
        </w:rPr>
        <w:t xml:space="preserve"> 230 מיליגרם לליטר;</w:t>
      </w:r>
    </w:p>
    <w:p w:rsidR="009231EC" w:rsidRDefault="009231E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פלואוריד </w:t>
      </w:r>
      <w:r>
        <w:rPr>
          <w:rStyle w:val="default"/>
          <w:rFonts w:cs="FrankRuehl"/>
          <w:rtl/>
        </w:rPr>
        <w:t>–</w:t>
      </w:r>
      <w:r>
        <w:rPr>
          <w:rStyle w:val="default"/>
          <w:rFonts w:cs="FrankRuehl" w:hint="cs"/>
          <w:rtl/>
        </w:rPr>
        <w:t xml:space="preserve"> 6 מיליגרם לליטר;</w:t>
      </w:r>
    </w:p>
    <w:p w:rsidR="009231EC" w:rsidRDefault="009231E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בורון </w:t>
      </w:r>
      <w:r>
        <w:rPr>
          <w:rStyle w:val="default"/>
          <w:rFonts w:cs="FrankRuehl"/>
          <w:rtl/>
        </w:rPr>
        <w:t>–</w:t>
      </w:r>
      <w:r>
        <w:rPr>
          <w:rStyle w:val="default"/>
          <w:rFonts w:cs="FrankRuehl" w:hint="cs"/>
          <w:rtl/>
        </w:rPr>
        <w:t xml:space="preserve"> 1.5 מיליגרם לליטר.</w:t>
      </w:r>
    </w:p>
    <w:p w:rsidR="009231EC" w:rsidRDefault="009231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ימהל מפעיל את שפכי המפעל במים ולא יגדיל את צריכת המים בתהליך הייצור במגמה להקטין את ריכוז המזהמים האמורים בתקנת משנה (א) בשפכים.</w:t>
      </w:r>
    </w:p>
    <w:p w:rsidR="009231EC" w:rsidRDefault="009231E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על אף האמור בתקנת משנה (א) </w:t>
      </w:r>
      <w:r>
        <w:rPr>
          <w:rStyle w:val="default"/>
          <w:rFonts w:cs="FrankRuehl"/>
          <w:rtl/>
        </w:rPr>
        <w:t>–</w:t>
      </w:r>
    </w:p>
    <w:p w:rsidR="009231EC" w:rsidRDefault="009231E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ריכוז הכלורידים יכול שיהיה גבוה מ-430 מיליגרם לליטר אם הוכיח המפעיל כי ריכוז זה אינו גבוה מהריכוז במים המסופקים למפעל, בתוספת 200 מיליגרם לליטר;</w:t>
      </w:r>
    </w:p>
    <w:p w:rsidR="009231EC" w:rsidRDefault="009231E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ריכוז הנתרן יכול שיהיה גבוה מ-230 מיליגרם לליטר אם הוכיח המפעיל כי ריכוז זה אינו גבוה יותר מהריכוז במים המסופקים למפעל, בתוספת 130 מיליגרם לליטר;</w:t>
      </w:r>
    </w:p>
    <w:p w:rsidR="009231EC" w:rsidRDefault="009231E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נותן האישור יהיה רשאי לדרוש ממפעיל </w:t>
      </w:r>
      <w:r>
        <w:rPr>
          <w:rStyle w:val="default"/>
          <w:rFonts w:cs="FrankRuehl"/>
          <w:rtl/>
        </w:rPr>
        <w:t>–</w:t>
      </w:r>
    </w:p>
    <w:p w:rsidR="009231EC" w:rsidRDefault="009231EC">
      <w:pPr>
        <w:pStyle w:val="P00"/>
        <w:spacing w:before="72"/>
        <w:ind w:left="1474" w:right="1134"/>
        <w:rPr>
          <w:rStyle w:val="default"/>
          <w:rFonts w:cs="FrankRuehl" w:hint="cs"/>
          <w:rtl/>
        </w:rPr>
      </w:pPr>
      <w:r>
        <w:rPr>
          <w:rStyle w:val="default"/>
          <w:rFonts w:cs="FrankRuehl" w:hint="cs"/>
          <w:rtl/>
        </w:rPr>
        <w:lastRenderedPageBreak/>
        <w:t>(1)</w:t>
      </w:r>
      <w:r>
        <w:rPr>
          <w:rStyle w:val="default"/>
          <w:rFonts w:cs="FrankRuehl" w:hint="cs"/>
          <w:rtl/>
        </w:rPr>
        <w:tab/>
        <w:t>ריכוז כלורידים הנמוך מ-430 מיליגרם לליטר אם הריכוז הנדרש לא יהיה נמוך מריכוז הכלורידים במים המסופקים למפעל, בתוספת 200 מיליגרם לליטר;</w:t>
      </w:r>
    </w:p>
    <w:p w:rsidR="009231EC" w:rsidRDefault="009231EC">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ריכוז נתרן הנמוך מ-230 מילגרם לליטר אם הריכוז הנדרש לא יהיה נמוך מריכוז הנתרן במים המסופקים למפעל, בתוספת 130 מיליגרם לליטר.</w:t>
      </w:r>
    </w:p>
    <w:p w:rsidR="009231EC" w:rsidRDefault="009231EC" w:rsidP="009231EC">
      <w:pPr>
        <w:pStyle w:val="P00"/>
        <w:spacing w:before="72"/>
        <w:ind w:left="0" w:right="1134"/>
        <w:rPr>
          <w:rStyle w:val="default"/>
          <w:rFonts w:cs="FrankRuehl" w:hint="cs"/>
          <w:rtl/>
        </w:rPr>
      </w:pPr>
      <w:bookmarkStart w:id="2" w:name="Seif3"/>
      <w:bookmarkEnd w:id="2"/>
      <w:r>
        <w:rPr>
          <w:lang w:val="he-IL"/>
        </w:rPr>
        <w:pict>
          <v:rect id="_x0000_s1030" style="position:absolute;left:0;text-align:left;margin-left:464.5pt;margin-top:8.05pt;width:75.05pt;height:10pt;z-index:251656192" o:allowincell="f" filled="f" stroked="f" strokecolor="lime" strokeweight=".25pt">
            <v:textbox inset="0,0,0,0">
              <w:txbxContent>
                <w:p w:rsidR="009231EC" w:rsidRDefault="009231EC">
                  <w:pPr>
                    <w:spacing w:line="160" w:lineRule="exact"/>
                    <w:jc w:val="left"/>
                    <w:rPr>
                      <w:rFonts w:cs="Miriam" w:hint="cs"/>
                      <w:noProof/>
                      <w:sz w:val="18"/>
                      <w:szCs w:val="18"/>
                      <w:rtl/>
                    </w:rPr>
                  </w:pPr>
                  <w:r>
                    <w:rPr>
                      <w:rFonts w:cs="Miriam" w:hint="cs"/>
                      <w:sz w:val="18"/>
                      <w:szCs w:val="18"/>
                      <w:rtl/>
                    </w:rPr>
                    <w:t>החמרת ערכים</w:t>
                  </w:r>
                </w:p>
              </w:txbxContent>
            </v:textbox>
            <w10:anchorlock/>
          </v:rect>
        </w:pict>
      </w:r>
      <w:r>
        <w:rPr>
          <w:rStyle w:val="big-number"/>
          <w:rFonts w:cs="Miriam"/>
          <w:rtl/>
        </w:rPr>
        <w:t>3.</w:t>
      </w:r>
      <w:hyperlink r:id="rId8" w:tooltip="אזכורים" w:history="1">
        <w:r w:rsidRPr="009231EC">
          <w:rPr>
            <w:rStyle w:val="Hyperlink"/>
            <w:rtl/>
          </w:rPr>
          <w:t>*</w:t>
        </w:r>
      </w:hyperlink>
      <w:r>
        <w:rPr>
          <w:rStyle w:val="big-number"/>
          <w:rFonts w:cs="Miriam"/>
          <w:rtl/>
        </w:rPr>
        <w:tab/>
      </w:r>
      <w:r>
        <w:rPr>
          <w:rStyle w:val="default"/>
          <w:rFonts w:cs="FrankRuehl" w:hint="cs"/>
          <w:rtl/>
        </w:rPr>
        <w:t>(א)</w:t>
      </w:r>
      <w:r>
        <w:rPr>
          <w:rStyle w:val="default"/>
          <w:rFonts w:cs="FrankRuehl" w:hint="cs"/>
          <w:rtl/>
        </w:rPr>
        <w:tab/>
        <w:t>שוכנע נותן האישור כי קיימת סכנה ממשית לסביבה בשל מליחותם של קולחים המוזרמים ממיתקן הטיהור, יקבע נותן האישור למפעל את הערכים האלה:</w:t>
      </w:r>
    </w:p>
    <w:p w:rsidR="009231EC" w:rsidRDefault="009231E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כלוריד </w:t>
      </w:r>
      <w:r>
        <w:rPr>
          <w:rStyle w:val="default"/>
          <w:rFonts w:cs="FrankRuehl"/>
          <w:rtl/>
        </w:rPr>
        <w:t>–</w:t>
      </w:r>
      <w:r>
        <w:rPr>
          <w:rStyle w:val="default"/>
          <w:rFonts w:cs="FrankRuehl" w:hint="cs"/>
          <w:rtl/>
        </w:rPr>
        <w:t xml:space="preserve"> 100 מיליגרם לליטר, מעל ריכוזו במים המסופקים למפעל;</w:t>
      </w:r>
    </w:p>
    <w:p w:rsidR="009231EC" w:rsidRDefault="009231E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נתרן </w:t>
      </w:r>
      <w:r>
        <w:rPr>
          <w:rStyle w:val="default"/>
          <w:rFonts w:cs="FrankRuehl"/>
          <w:rtl/>
        </w:rPr>
        <w:t>–</w:t>
      </w:r>
      <w:r>
        <w:rPr>
          <w:rStyle w:val="default"/>
          <w:rFonts w:cs="FrankRuehl" w:hint="cs"/>
          <w:rtl/>
        </w:rPr>
        <w:t xml:space="preserve"> 65 מיליגרם לליטר, מעל ריכוזו במים המסופקים למפעל;</w:t>
      </w:r>
    </w:p>
    <w:p w:rsidR="009231EC" w:rsidRDefault="009231E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פלואוריד </w:t>
      </w:r>
      <w:r>
        <w:rPr>
          <w:rStyle w:val="default"/>
          <w:rFonts w:cs="FrankRuehl"/>
          <w:rtl/>
        </w:rPr>
        <w:t>–</w:t>
      </w:r>
      <w:r>
        <w:rPr>
          <w:rStyle w:val="default"/>
          <w:rFonts w:cs="FrankRuehl" w:hint="cs"/>
          <w:rtl/>
        </w:rPr>
        <w:t xml:space="preserve"> 3 מיליגרם לליטר;</w:t>
      </w:r>
    </w:p>
    <w:p w:rsidR="009231EC" w:rsidRDefault="009231E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בורון </w:t>
      </w:r>
      <w:r>
        <w:rPr>
          <w:rStyle w:val="default"/>
          <w:rFonts w:cs="FrankRuehl"/>
          <w:rtl/>
        </w:rPr>
        <w:t>–</w:t>
      </w:r>
      <w:r>
        <w:rPr>
          <w:rStyle w:val="default"/>
          <w:rFonts w:cs="FrankRuehl" w:hint="cs"/>
          <w:rtl/>
        </w:rPr>
        <w:t xml:space="preserve"> 0.75 מיליגרם לליטר.</w:t>
      </w:r>
    </w:p>
    <w:p w:rsidR="009231EC" w:rsidRDefault="009231EC">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מפעיל הרואה את עצמו נפגע מקביעת ערכים על ידי נותן האישור כאמור בסעיף קטן (א), יחולו הוראות סעיף 7(ד) וסעיף 7ד לחוק.</w:t>
      </w:r>
    </w:p>
    <w:p w:rsidR="009231EC" w:rsidRDefault="009231EC" w:rsidP="009231EC">
      <w:pPr>
        <w:pStyle w:val="P00"/>
        <w:spacing w:before="72"/>
        <w:ind w:left="0" w:right="1134"/>
        <w:rPr>
          <w:rStyle w:val="default"/>
          <w:rFonts w:cs="FrankRuehl" w:hint="cs"/>
          <w:rtl/>
        </w:rPr>
      </w:pPr>
      <w:bookmarkStart w:id="3" w:name="Seif4"/>
      <w:bookmarkEnd w:id="3"/>
      <w:r>
        <w:rPr>
          <w:lang w:val="he-IL"/>
        </w:rPr>
        <w:pict>
          <v:rect id="_x0000_s1038" style="position:absolute;left:0;text-align:left;margin-left:464.5pt;margin-top:8.05pt;width:75.05pt;height:9.85pt;z-index:251657216" o:allowincell="f" filled="f" stroked="f" strokecolor="lime" strokeweight=".25pt">
            <v:textbox inset="0,0,0,0">
              <w:txbxContent>
                <w:p w:rsidR="009231EC" w:rsidRDefault="009231EC">
                  <w:pPr>
                    <w:spacing w:line="160" w:lineRule="exact"/>
                    <w:jc w:val="left"/>
                    <w:rPr>
                      <w:rFonts w:cs="Miriam" w:hint="cs"/>
                      <w:noProof/>
                      <w:sz w:val="18"/>
                      <w:szCs w:val="18"/>
                      <w:rtl/>
                    </w:rPr>
                  </w:pPr>
                  <w:r>
                    <w:rPr>
                      <w:rFonts w:cs="Miriam" w:hint="cs"/>
                      <w:sz w:val="18"/>
                      <w:szCs w:val="18"/>
                      <w:rtl/>
                    </w:rPr>
                    <w:t>הקלה בערכים</w:t>
                  </w:r>
                </w:p>
              </w:txbxContent>
            </v:textbox>
            <w10:anchorlock/>
          </v:rect>
        </w:pict>
      </w:r>
      <w:r>
        <w:rPr>
          <w:rStyle w:val="big-number"/>
          <w:rFonts w:cs="Miriam" w:hint="cs"/>
          <w:rtl/>
        </w:rPr>
        <w:t>4</w:t>
      </w:r>
      <w:r>
        <w:rPr>
          <w:rStyle w:val="big-number"/>
          <w:rFonts w:cs="Miriam"/>
          <w:rtl/>
        </w:rPr>
        <w:t>.</w:t>
      </w:r>
      <w:hyperlink r:id="rId9" w:tooltip="אזכורים" w:history="1">
        <w:r w:rsidRPr="009231EC">
          <w:rPr>
            <w:rStyle w:val="Hyperlink"/>
            <w:rtl/>
          </w:rPr>
          <w:t>*</w:t>
        </w:r>
      </w:hyperlink>
      <w:r>
        <w:rPr>
          <w:rStyle w:val="big-number"/>
          <w:rFonts w:cs="Miriam"/>
          <w:rtl/>
        </w:rPr>
        <w:tab/>
      </w:r>
      <w:r>
        <w:rPr>
          <w:rStyle w:val="default"/>
          <w:rFonts w:cs="FrankRuehl" w:hint="cs"/>
          <w:rtl/>
        </w:rPr>
        <w:t>(א)</w:t>
      </w:r>
      <w:r>
        <w:rPr>
          <w:rStyle w:val="default"/>
          <w:rFonts w:cs="FrankRuehl" w:hint="cs"/>
          <w:rtl/>
        </w:rPr>
        <w:tab/>
        <w:t>נותן האישור רשאי להתיר ריכוזי מזהמים גבוהים מאלה המפורטים בתקנות 2 ו-3, ולהורות על דרך מדידת ריכוזים כאמור ועל נקיטת אמצעי בקרה כנדרש, אם נתקיים אחד מאלה:</w:t>
      </w:r>
    </w:p>
    <w:p w:rsidR="009231EC" w:rsidRDefault="009231E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הוכח להנחת דעתו, כי המפעל משתמש, להורדת ריכוזי המזהמים בתהליך הייצור ובמהלך הטיפול בשפכים, באמצעים הטכנולוגיים הטובים ביותר הקיימים;</w:t>
      </w:r>
    </w:p>
    <w:p w:rsidR="009231EC" w:rsidRDefault="009231E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הקטנת ריכוזי המזהמים תפגע בתהליך ייצור המוצר, בטיבו, באיכותו או ברישויו;</w:t>
      </w:r>
    </w:p>
    <w:p w:rsidR="009231EC" w:rsidRDefault="009231E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מקור המזהמים הוא תוצר לוואי של דודי קיטור או מגדלי קירור, ובלבד שהמפעל נקט פעולות סבירות לצמצום השימוש במים במגדלי הקירור ושלא קיימת טכנולוגיה זמינה וישימה מבחינה כלכלית, לטיפול בתוצר לוואי כאמור;</w:t>
      </w:r>
    </w:p>
    <w:p w:rsidR="009231EC" w:rsidRDefault="009231E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מקור המזהמים בתעשיית המזון, הוא בתהליכי ניקוי בסודה קאוסטית אלא אם כן קיים תחליף ישים מבחינה כלכלית, לטיפול בתוצר לוואי כאמור;</w:t>
      </w:r>
    </w:p>
    <w:p w:rsidR="009231EC" w:rsidRDefault="009231E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מקור המזהמים הוא תוצר לוואי של תהליך התפלת מים, ובלבד שלא קיימת טכנולוגיה זמינה וישימה מבחינה כלכלית, לטיפול בתוצר לוואי כאמור;</w:t>
      </w:r>
    </w:p>
    <w:p w:rsidR="009231EC" w:rsidRDefault="009231EC">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מקור המזהמים בתהליך הייצור אינו נקודתי באופן המאפשר הפרדה וסילוק מזרם השפכים באמצעים סבירים.</w:t>
      </w:r>
    </w:p>
    <w:p w:rsidR="009231EC" w:rsidRDefault="009231EC">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מפעיל שהגיש בקשה להתיר לו הזרמת שפכים בהקלת ערכים כאמור בתקנה 4(א), יהיה פטור מהוראות תקנות 2 ו-3 עד לקבלת החלטתו של נותן האישור.</w:t>
      </w:r>
    </w:p>
    <w:p w:rsidR="009231EC" w:rsidRDefault="009231EC" w:rsidP="009231EC">
      <w:pPr>
        <w:pStyle w:val="P00"/>
        <w:spacing w:before="72"/>
        <w:ind w:left="0" w:right="1134"/>
        <w:rPr>
          <w:rStyle w:val="default"/>
          <w:rFonts w:cs="FrankRuehl"/>
          <w:rtl/>
        </w:rPr>
      </w:pPr>
      <w:bookmarkStart w:id="4" w:name="Seif5"/>
      <w:bookmarkEnd w:id="4"/>
      <w:r>
        <w:rPr>
          <w:lang w:val="he-IL"/>
        </w:rPr>
        <w:pict>
          <v:rect id="_x0000_s1039" style="position:absolute;left:0;text-align:left;margin-left:464.5pt;margin-top:8.05pt;width:75.05pt;height:8.75pt;z-index:251658240" o:allowincell="f" filled="f" stroked="f" strokecolor="lime" strokeweight=".25pt">
            <v:textbox inset="0,0,0,0">
              <w:txbxContent>
                <w:p w:rsidR="009231EC" w:rsidRDefault="009231EC">
                  <w:pPr>
                    <w:spacing w:line="160" w:lineRule="exact"/>
                    <w:jc w:val="left"/>
                    <w:rPr>
                      <w:rFonts w:cs="Miriam" w:hint="cs"/>
                      <w:noProof/>
                      <w:sz w:val="18"/>
                      <w:szCs w:val="18"/>
                      <w:rtl/>
                    </w:rPr>
                  </w:pPr>
                  <w:r>
                    <w:rPr>
                      <w:rFonts w:cs="Miriam" w:hint="cs"/>
                      <w:sz w:val="18"/>
                      <w:szCs w:val="18"/>
                      <w:rtl/>
                    </w:rPr>
                    <w:t>עונשין</w:t>
                  </w:r>
                </w:p>
              </w:txbxContent>
            </v:textbox>
            <w10:anchorlock/>
          </v:rect>
        </w:pict>
      </w:r>
      <w:r>
        <w:rPr>
          <w:rStyle w:val="big-number"/>
          <w:rFonts w:cs="Miriam" w:hint="cs"/>
          <w:rtl/>
        </w:rPr>
        <w:t>5</w:t>
      </w:r>
      <w:r>
        <w:rPr>
          <w:rStyle w:val="big-number"/>
          <w:rFonts w:cs="Miriam"/>
          <w:rtl/>
        </w:rPr>
        <w:t>.</w:t>
      </w:r>
      <w:hyperlink r:id="rId10" w:tooltip="אזכורים" w:history="1">
        <w:r w:rsidRPr="009231EC">
          <w:rPr>
            <w:rStyle w:val="Hyperlink"/>
            <w:rtl/>
          </w:rPr>
          <w:t>*</w:t>
        </w:r>
      </w:hyperlink>
      <w:r>
        <w:rPr>
          <w:rStyle w:val="big-number"/>
          <w:rFonts w:cs="Miriam"/>
          <w:rtl/>
        </w:rPr>
        <w:tab/>
      </w:r>
      <w:r>
        <w:rPr>
          <w:rStyle w:val="default"/>
          <w:rFonts w:cs="FrankRuehl" w:hint="cs"/>
          <w:rtl/>
        </w:rPr>
        <w:t xml:space="preserve">העובר על הוראה מהוראות תקנות אלה, דינו </w:t>
      </w:r>
      <w:r>
        <w:rPr>
          <w:rStyle w:val="default"/>
          <w:rFonts w:cs="FrankRuehl"/>
          <w:rtl/>
        </w:rPr>
        <w:t>–</w:t>
      </w:r>
      <w:r>
        <w:rPr>
          <w:rStyle w:val="default"/>
          <w:rFonts w:cs="FrankRuehl" w:hint="cs"/>
          <w:rtl/>
        </w:rPr>
        <w:t xml:space="preserve"> כאמור בסעיף 14 לחוק.</w:t>
      </w:r>
    </w:p>
    <w:p w:rsidR="009231EC" w:rsidRDefault="009231EC" w:rsidP="009231EC">
      <w:pPr>
        <w:pStyle w:val="P00"/>
        <w:spacing w:before="72"/>
        <w:ind w:left="0" w:right="1134"/>
        <w:rPr>
          <w:rStyle w:val="default"/>
          <w:rFonts w:cs="FrankRuehl" w:hint="cs"/>
          <w:rtl/>
        </w:rPr>
      </w:pPr>
      <w:bookmarkStart w:id="5" w:name="Seif6"/>
      <w:bookmarkEnd w:id="5"/>
      <w:r>
        <w:rPr>
          <w:lang w:val="he-IL"/>
        </w:rPr>
        <w:pict>
          <v:rect id="_x0000_s1040" style="position:absolute;left:0;text-align:left;margin-left:464.5pt;margin-top:8.05pt;width:75.05pt;height:5.65pt;z-index:251659264" o:allowincell="f" filled="f" stroked="f" strokecolor="lime" strokeweight=".25pt">
            <v:textbox inset="0,0,0,0">
              <w:txbxContent>
                <w:p w:rsidR="009231EC" w:rsidRDefault="009231EC">
                  <w:pPr>
                    <w:spacing w:line="160" w:lineRule="exact"/>
                    <w:jc w:val="left"/>
                    <w:rPr>
                      <w:rFonts w:cs="Miriam" w:hint="cs"/>
                      <w:noProof/>
                      <w:sz w:val="18"/>
                      <w:szCs w:val="18"/>
                      <w:rtl/>
                    </w:rPr>
                  </w:pPr>
                  <w:r>
                    <w:rPr>
                      <w:rFonts w:cs="Miriam" w:hint="cs"/>
                      <w:sz w:val="18"/>
                      <w:szCs w:val="18"/>
                      <w:rtl/>
                    </w:rPr>
                    <w:t>סייג לתחולה</w:t>
                  </w:r>
                </w:p>
              </w:txbxContent>
            </v:textbox>
            <w10:anchorlock/>
          </v:rect>
        </w:pict>
      </w:r>
      <w:r>
        <w:rPr>
          <w:rStyle w:val="big-number"/>
          <w:rFonts w:cs="Miriam" w:hint="cs"/>
          <w:rtl/>
        </w:rPr>
        <w:t>6</w:t>
      </w:r>
      <w:r>
        <w:rPr>
          <w:rStyle w:val="big-number"/>
          <w:rFonts w:cs="Miriam"/>
          <w:rtl/>
        </w:rPr>
        <w:t>.</w:t>
      </w:r>
      <w:hyperlink r:id="rId11" w:tooltip="אזכורים" w:history="1">
        <w:r w:rsidRPr="009231EC">
          <w:rPr>
            <w:rStyle w:val="Hyperlink"/>
            <w:rtl/>
          </w:rPr>
          <w:t>*</w:t>
        </w:r>
      </w:hyperlink>
      <w:r>
        <w:rPr>
          <w:rStyle w:val="big-number"/>
          <w:rFonts w:cs="Miriam"/>
          <w:rtl/>
        </w:rPr>
        <w:tab/>
      </w:r>
      <w:r>
        <w:rPr>
          <w:rStyle w:val="default"/>
          <w:rFonts w:cs="FrankRuehl" w:hint="cs"/>
          <w:rtl/>
        </w:rPr>
        <w:t xml:space="preserve">תקנות אלה לא יחולו על מפעל </w:t>
      </w:r>
      <w:r>
        <w:rPr>
          <w:rStyle w:val="default"/>
          <w:rFonts w:cs="FrankRuehl"/>
          <w:rtl/>
        </w:rPr>
        <w:t>–</w:t>
      </w:r>
    </w:p>
    <w:p w:rsidR="009231EC" w:rsidRDefault="009231E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המזרים שפכים ישירות לים או למערכת ביוב של רשות מקומית המזרימה שפכים לים, הכל לפי היתר מכוח חוק מניעת זיהום הים ממקורות יבשתיים, התשמ"ח-1988, ובאופן שאינו גורם למפגעים ומטרדים או לפגיעה בצנרת של מערכת הביוב;</w:t>
      </w:r>
    </w:p>
    <w:p w:rsidR="009231EC" w:rsidRDefault="009231E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המזרים שפכים לרשות מקומית המתפילה את קולחיה, ובלבד שהזרם המלוח הנוצר מהליך ההתפלה מטופל באופן שאינו גורם להמלחת מים;</w:t>
      </w:r>
    </w:p>
    <w:p w:rsidR="009231EC" w:rsidRDefault="009231EC">
      <w:pPr>
        <w:pStyle w:val="P00"/>
        <w:spacing w:before="72"/>
        <w:ind w:left="624" w:right="1134"/>
        <w:rPr>
          <w:rStyle w:val="default"/>
          <w:rFonts w:cs="FrankRuehl"/>
          <w:rtl/>
        </w:rPr>
      </w:pPr>
      <w:r>
        <w:rPr>
          <w:rStyle w:val="default"/>
          <w:rFonts w:cs="FrankRuehl" w:hint="cs"/>
          <w:rtl/>
        </w:rPr>
        <w:t>(3)</w:t>
      </w:r>
      <w:r>
        <w:rPr>
          <w:rStyle w:val="default"/>
          <w:rFonts w:cs="FrankRuehl" w:hint="cs"/>
          <w:rtl/>
        </w:rPr>
        <w:tab/>
        <w:t>המזרים שפכים בכמות פחותה מ-5 מטרים מעוקבים ליום, ואשר אינו משתמש במזהמים בהליך הייצור.</w:t>
      </w:r>
    </w:p>
    <w:p w:rsidR="009231EC" w:rsidRDefault="009231EC" w:rsidP="009231EC">
      <w:pPr>
        <w:pStyle w:val="P00"/>
        <w:spacing w:before="72"/>
        <w:ind w:left="0" w:right="1134"/>
        <w:rPr>
          <w:rStyle w:val="default"/>
          <w:rFonts w:cs="FrankRuehl"/>
          <w:rtl/>
        </w:rPr>
      </w:pPr>
      <w:bookmarkStart w:id="6" w:name="Seif7"/>
      <w:bookmarkEnd w:id="6"/>
      <w:r>
        <w:rPr>
          <w:lang w:val="he-IL"/>
        </w:rPr>
        <w:pict>
          <v:rect id="_x0000_s1041" style="position:absolute;left:0;text-align:left;margin-left:464.5pt;margin-top:8.05pt;width:75.05pt;height:7.1pt;z-index:251660288" o:allowincell="f" filled="f" stroked="f" strokecolor="lime" strokeweight=".25pt">
            <v:textbox inset="0,0,0,0">
              <w:txbxContent>
                <w:p w:rsidR="009231EC" w:rsidRDefault="009231EC">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7</w:t>
      </w:r>
      <w:r>
        <w:rPr>
          <w:rStyle w:val="big-number"/>
          <w:rFonts w:cs="Miriam"/>
          <w:rtl/>
        </w:rPr>
        <w:t>.</w:t>
      </w:r>
      <w:hyperlink r:id="rId12" w:tooltip="אזכורים" w:history="1">
        <w:r w:rsidRPr="009231EC">
          <w:rPr>
            <w:rStyle w:val="Hyperlink"/>
            <w:rtl/>
          </w:rPr>
          <w:t>*</w:t>
        </w:r>
      </w:hyperlink>
      <w:r>
        <w:rPr>
          <w:rStyle w:val="big-number"/>
          <w:rFonts w:cs="Miriam"/>
          <w:rtl/>
        </w:rPr>
        <w:tab/>
      </w:r>
      <w:r>
        <w:rPr>
          <w:rStyle w:val="default"/>
          <w:rFonts w:cs="FrankRuehl" w:hint="cs"/>
          <w:rtl/>
        </w:rPr>
        <w:t>תקנות אלה באות להוסיף על כל דין אחר בנושא ריכוזי מלחים בשפכים.</w:t>
      </w:r>
    </w:p>
    <w:p w:rsidR="009231EC" w:rsidRDefault="009231EC" w:rsidP="009231EC">
      <w:pPr>
        <w:pStyle w:val="P00"/>
        <w:spacing w:before="72"/>
        <w:ind w:left="0" w:right="1134"/>
        <w:rPr>
          <w:rStyle w:val="default"/>
          <w:rFonts w:cs="FrankRuehl"/>
          <w:rtl/>
        </w:rPr>
      </w:pPr>
      <w:bookmarkStart w:id="7" w:name="Seif8"/>
      <w:bookmarkEnd w:id="7"/>
      <w:r>
        <w:rPr>
          <w:lang w:val="he-IL"/>
        </w:rPr>
        <w:pict>
          <v:rect id="_x0000_s1042" style="position:absolute;left:0;text-align:left;margin-left:464.5pt;margin-top:8.05pt;width:75.05pt;height:6.65pt;z-index:251661312" o:allowincell="f" filled="f" stroked="f" strokecolor="lime" strokeweight=".25pt">
            <v:textbox inset="0,0,0,0">
              <w:txbxContent>
                <w:p w:rsidR="009231EC" w:rsidRDefault="009231EC">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8</w:t>
      </w:r>
      <w:r>
        <w:rPr>
          <w:rStyle w:val="big-number"/>
          <w:rFonts w:cs="Miriam"/>
          <w:rtl/>
        </w:rPr>
        <w:t>.</w:t>
      </w:r>
      <w:hyperlink r:id="rId13" w:tooltip="אזכורים" w:history="1">
        <w:r w:rsidRPr="009231EC">
          <w:rPr>
            <w:rStyle w:val="Hyperlink"/>
            <w:rtl/>
          </w:rPr>
          <w:t>*</w:t>
        </w:r>
      </w:hyperlink>
      <w:r>
        <w:rPr>
          <w:rStyle w:val="big-number"/>
          <w:rFonts w:cs="Miriam"/>
          <w:rtl/>
        </w:rPr>
        <w:tab/>
      </w:r>
      <w:r>
        <w:rPr>
          <w:rStyle w:val="default"/>
          <w:rFonts w:cs="FrankRuehl" w:hint="cs"/>
          <w:rtl/>
        </w:rPr>
        <w:t xml:space="preserve">תחילתן של תקנות אלה </w:t>
      </w:r>
      <w:r>
        <w:rPr>
          <w:rStyle w:val="default"/>
          <w:rFonts w:cs="FrankRuehl"/>
          <w:rtl/>
        </w:rPr>
        <w:t>–</w:t>
      </w:r>
      <w:r>
        <w:rPr>
          <w:rStyle w:val="default"/>
          <w:rFonts w:cs="FrankRuehl" w:hint="cs"/>
          <w:rtl/>
        </w:rPr>
        <w:t xml:space="preserve"> שנים עשר חודשים מיום פרסומן, למעט תקנה 4(ב) שתחילתה שלושה חודשים מיום פרסום התקנות.</w:t>
      </w:r>
    </w:p>
    <w:p w:rsidR="009231EC" w:rsidRDefault="009231EC">
      <w:pPr>
        <w:pStyle w:val="medium-header"/>
        <w:keepNext w:val="0"/>
        <w:keepLines w:val="0"/>
        <w:ind w:left="0" w:right="1134"/>
        <w:jc w:val="both"/>
        <w:rPr>
          <w:rFonts w:cs="FrankRuehl"/>
          <w:sz w:val="26"/>
          <w:rtl/>
        </w:rPr>
      </w:pPr>
    </w:p>
    <w:p w:rsidR="009231EC" w:rsidRDefault="009231EC">
      <w:pPr>
        <w:pStyle w:val="medium-header"/>
        <w:keepNext w:val="0"/>
        <w:keepLines w:val="0"/>
        <w:ind w:left="0" w:right="1134"/>
        <w:jc w:val="both"/>
        <w:rPr>
          <w:rFonts w:cs="FrankRuehl" w:hint="cs"/>
          <w:sz w:val="26"/>
          <w:rtl/>
        </w:rPr>
      </w:pPr>
    </w:p>
    <w:p w:rsidR="009231EC" w:rsidRDefault="009231EC">
      <w:pPr>
        <w:pStyle w:val="medium-header"/>
        <w:keepNext w:val="0"/>
        <w:keepLines w:val="0"/>
        <w:ind w:left="0" w:right="1134"/>
        <w:jc w:val="both"/>
        <w:rPr>
          <w:rFonts w:cs="FrankRuehl" w:hint="cs"/>
          <w:sz w:val="26"/>
          <w:rtl/>
        </w:rPr>
      </w:pPr>
      <w:r>
        <w:rPr>
          <w:rFonts w:cs="FrankRuehl" w:hint="cs"/>
          <w:sz w:val="26"/>
          <w:rtl/>
        </w:rPr>
        <w:t>י"ג באב התשס"ג (11 באוגוסט 2003)</w:t>
      </w:r>
    </w:p>
    <w:p w:rsidR="009231EC" w:rsidRDefault="009231EC">
      <w:pPr>
        <w:pStyle w:val="medium-header"/>
        <w:keepNext w:val="0"/>
        <w:keepLines w:val="0"/>
        <w:tabs>
          <w:tab w:val="clear" w:pos="624"/>
          <w:tab w:val="clear" w:pos="1021"/>
          <w:tab w:val="clear" w:pos="1474"/>
          <w:tab w:val="clear" w:pos="1928"/>
          <w:tab w:val="clear" w:pos="2381"/>
          <w:tab w:val="clear" w:pos="2835"/>
          <w:tab w:val="center" w:pos="5103"/>
        </w:tabs>
        <w:ind w:left="0" w:right="1134"/>
        <w:jc w:val="both"/>
        <w:rPr>
          <w:rFonts w:cs="FrankRuehl" w:hint="cs"/>
          <w:sz w:val="26"/>
          <w:rtl/>
        </w:rPr>
      </w:pPr>
      <w:r>
        <w:rPr>
          <w:rFonts w:cs="FrankRuehl" w:hint="cs"/>
          <w:sz w:val="26"/>
          <w:rtl/>
        </w:rPr>
        <w:tab/>
        <w:t>יהודית נאות</w:t>
      </w:r>
    </w:p>
    <w:p w:rsidR="009231EC" w:rsidRDefault="009231EC">
      <w:pPr>
        <w:pStyle w:val="medium-header"/>
        <w:keepNext w:val="0"/>
        <w:keepLines w:val="0"/>
        <w:tabs>
          <w:tab w:val="clear" w:pos="624"/>
          <w:tab w:val="clear" w:pos="1021"/>
          <w:tab w:val="clear" w:pos="1474"/>
          <w:tab w:val="clear" w:pos="1928"/>
          <w:tab w:val="clear" w:pos="2381"/>
          <w:tab w:val="clear" w:pos="2835"/>
          <w:tab w:val="center" w:pos="5103"/>
        </w:tabs>
        <w:ind w:left="0" w:right="1134"/>
        <w:jc w:val="both"/>
        <w:rPr>
          <w:rFonts w:cs="FrankRuehl" w:hint="cs"/>
          <w:sz w:val="22"/>
          <w:szCs w:val="22"/>
          <w:rtl/>
        </w:rPr>
      </w:pPr>
      <w:r>
        <w:rPr>
          <w:rFonts w:cs="FrankRuehl" w:hint="cs"/>
          <w:sz w:val="22"/>
          <w:szCs w:val="22"/>
          <w:rtl/>
        </w:rPr>
        <w:tab/>
        <w:t>השרה לאיכות הסביבה</w:t>
      </w:r>
    </w:p>
    <w:p w:rsidR="009231EC" w:rsidRDefault="009231EC">
      <w:pPr>
        <w:pStyle w:val="medium-header"/>
        <w:keepNext w:val="0"/>
        <w:keepLines w:val="0"/>
        <w:tabs>
          <w:tab w:val="clear" w:pos="624"/>
          <w:tab w:val="clear" w:pos="1021"/>
          <w:tab w:val="clear" w:pos="1474"/>
          <w:tab w:val="clear" w:pos="1928"/>
          <w:tab w:val="clear" w:pos="2381"/>
          <w:tab w:val="clear" w:pos="2835"/>
          <w:tab w:val="center" w:pos="3402"/>
        </w:tabs>
        <w:ind w:left="0" w:right="1134"/>
        <w:jc w:val="both"/>
        <w:rPr>
          <w:rFonts w:cs="FrankRuehl" w:hint="cs"/>
          <w:sz w:val="22"/>
          <w:szCs w:val="22"/>
          <w:rtl/>
        </w:rPr>
      </w:pPr>
    </w:p>
    <w:sectPr w:rsidR="009231EC">
      <w:headerReference w:type="even" r:id="rId14"/>
      <w:headerReference w:type="default" r:id="rId15"/>
      <w:footerReference w:type="even" r:id="rId16"/>
      <w:footerReference w:type="default" r:id="rId1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6A70" w:rsidRDefault="00A86A70">
      <w:r>
        <w:separator/>
      </w:r>
    </w:p>
  </w:endnote>
  <w:endnote w:type="continuationSeparator" w:id="0">
    <w:p w:rsidR="00A86A70" w:rsidRDefault="00A86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31EC" w:rsidRDefault="009231E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231EC" w:rsidRDefault="009231E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9231EC" w:rsidRDefault="009231E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Z:\000000000000-law\yael\revadim\08-03-17\table\999_192.doc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31EC" w:rsidRDefault="009231E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A2459">
      <w:rPr>
        <w:rFonts w:hAnsi="FrankRuehl" w:cs="FrankRuehl"/>
        <w:noProof/>
        <w:sz w:val="24"/>
        <w:szCs w:val="24"/>
        <w:rtl/>
      </w:rPr>
      <w:t>1</w:t>
    </w:r>
    <w:r>
      <w:rPr>
        <w:rFonts w:hAnsi="FrankRuehl" w:cs="FrankRuehl"/>
        <w:sz w:val="24"/>
        <w:szCs w:val="24"/>
        <w:rtl/>
      </w:rPr>
      <w:fldChar w:fldCharType="end"/>
    </w:r>
  </w:p>
  <w:p w:rsidR="009231EC" w:rsidRDefault="009231E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9231EC" w:rsidRDefault="009231E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Z:\000000000000-law\yael\revadim\08-03-17\table\999_192.doc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6A70" w:rsidRDefault="00A86A70">
      <w:pPr>
        <w:spacing w:before="60" w:line="240" w:lineRule="auto"/>
        <w:ind w:right="1134"/>
      </w:pPr>
      <w:r>
        <w:separator/>
      </w:r>
    </w:p>
  </w:footnote>
  <w:footnote w:type="continuationSeparator" w:id="0">
    <w:p w:rsidR="00A86A70" w:rsidRDefault="00A86A70">
      <w:r>
        <w:continuationSeparator/>
      </w:r>
    </w:p>
  </w:footnote>
  <w:footnote w:id="1">
    <w:p w:rsidR="009231EC" w:rsidRDefault="009231E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w:t>
        </w:r>
        <w:r>
          <w:rPr>
            <w:rStyle w:val="Hyperlink"/>
            <w:rFonts w:cs="FrankRuehl" w:hint="cs"/>
            <w:rtl/>
          </w:rPr>
          <w:t>ס</w:t>
        </w:r>
        <w:r>
          <w:rPr>
            <w:rStyle w:val="Hyperlink"/>
            <w:rFonts w:cs="FrankRuehl" w:hint="cs"/>
            <w:rtl/>
          </w:rPr>
          <w:t>"ג מס' 6259</w:t>
        </w:r>
      </w:hyperlink>
      <w:r>
        <w:rPr>
          <w:rFonts w:cs="FrankRuehl" w:hint="cs"/>
          <w:rtl/>
        </w:rPr>
        <w:t xml:space="preserve"> מיום 24.8.2003 עמ' 1005.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31EC" w:rsidRDefault="009231E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פיקוח על מחירי מצרכים ושירותים (מחירי נסיעה בקווי השירות באוטובוסים), תשנ"ז- 1996</w:t>
    </w:r>
  </w:p>
  <w:p w:rsidR="009231EC" w:rsidRDefault="009231E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231EC" w:rsidRDefault="009231E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31EC" w:rsidRDefault="009231EC">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רישוי עסקים (ריכוזי מלחים בשפכים תעשייתיים), תשס"ג-2003</w:t>
    </w:r>
  </w:p>
  <w:p w:rsidR="009231EC" w:rsidRDefault="009231E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231EC" w:rsidRDefault="009231E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231EC"/>
    <w:rsid w:val="00097617"/>
    <w:rsid w:val="006A2459"/>
    <w:rsid w:val="009231EC"/>
    <w:rsid w:val="00A50A19"/>
    <w:rsid w:val="00A86A70"/>
    <w:rsid w:val="00AB6AB6"/>
    <w:rsid w:val="00C62F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44A9F53-6193-4708-86F6-A386A14EA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inks/psika/?pIzcurLaw=&#1514;&#1511;&#1504;&#1493;&#1514;%20&#1512;&#1497;&#1513;&#1493;&#1497;%20&#1506;&#1505;&#1511;&#1497;&#1501;%20(&#1512;&#1497;&#1499;&#1493;&#1494;&#1497;%20&#1502;&#1500;&#1495;&#1497;&#1501;%20&#1489;&#1513;&#1508;&#1499;&#1497;&#1501;%20&#1514;&#1506;&#1513;&#1497;&#1497;&#1514;&#1497;&#1497;&#1501;)&amp;pIzcurNum=3" TargetMode="External"/><Relationship Id="rId13" Type="http://schemas.openxmlformats.org/officeDocument/2006/relationships/hyperlink" Target="http://www.nevo.co.il/links/psika/?pIzcurLaw=&#1514;&#1511;&#1504;&#1493;&#1514;%20&#1512;&#1497;&#1513;&#1493;&#1497;%20&#1506;&#1505;&#1511;&#1497;&#1501;%20(&#1512;&#1497;&#1499;&#1493;&#1494;&#1497;%20&#1502;&#1500;&#1495;&#1497;&#1501;%20&#1489;&#1513;&#1508;&#1499;&#1497;&#1501;%20&#1514;&#1506;&#1513;&#1497;&#1497;&#1514;&#1497;&#1497;&#1501;)&amp;pIzcurNum=8"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inks/psika/?pIzcurLaw=&#1514;&#1511;&#1504;&#1493;&#1514;%20&#1512;&#1497;&#1513;&#1493;&#1497;%20&#1506;&#1505;&#1511;&#1497;&#1501;%20(&#1512;&#1497;&#1499;&#1493;&#1494;&#1497;%20&#1502;&#1500;&#1495;&#1497;&#1501;%20&#1489;&#1513;&#1508;&#1499;&#1497;&#1501;%20&#1514;&#1506;&#1513;&#1497;&#1497;&#1514;&#1497;&#1497;&#1501;)&amp;pIzcurNum=2" TargetMode="External"/><Relationship Id="rId12" Type="http://schemas.openxmlformats.org/officeDocument/2006/relationships/hyperlink" Target="http://www.nevo.co.il/links/psika/?pIzcurLaw=&#1514;&#1511;&#1504;&#1493;&#1514;%20&#1512;&#1497;&#1513;&#1493;&#1497;%20&#1506;&#1505;&#1511;&#1497;&#1501;%20(&#1512;&#1497;&#1499;&#1493;&#1494;&#1497;%20&#1502;&#1500;&#1495;&#1497;&#1501;%20&#1489;&#1513;&#1508;&#1499;&#1497;&#1501;%20&#1514;&#1506;&#1513;&#1497;&#1497;&#1514;&#1497;&#1497;&#1501;)&amp;pIzcurNum=7"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inks/psika/?pIzcurLaw=&#1514;&#1511;&#1504;&#1493;&#1514;%20&#1512;&#1497;&#1513;&#1493;&#1497;%20&#1506;&#1505;&#1511;&#1497;&#1501;%20(&#1512;&#1497;&#1499;&#1493;&#1494;&#1497;%20&#1502;&#1500;&#1495;&#1497;&#1501;%20&#1489;&#1513;&#1508;&#1499;&#1497;&#1501;%20&#1514;&#1506;&#1513;&#1497;&#1497;&#1514;&#1497;&#1497;&#1501;)&amp;pIzcurNum=1" TargetMode="External"/><Relationship Id="rId11" Type="http://schemas.openxmlformats.org/officeDocument/2006/relationships/hyperlink" Target="http://www.nevo.co.il/links/psika/?pIzcurLaw=&#1514;&#1511;&#1504;&#1493;&#1514;%20&#1512;&#1497;&#1513;&#1493;&#1497;%20&#1506;&#1505;&#1511;&#1497;&#1501;%20(&#1512;&#1497;&#1499;&#1493;&#1494;&#1497;%20&#1502;&#1500;&#1495;&#1497;&#1501;%20&#1489;&#1513;&#1508;&#1499;&#1497;&#1501;%20&#1514;&#1506;&#1513;&#1497;&#1497;&#1514;&#1497;&#1497;&#1501;)&amp;pIzcurNum=6"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inks/psika/?pIzcurLaw=&#1514;&#1511;&#1504;&#1493;&#1514;%20&#1512;&#1497;&#1513;&#1493;&#1497;%20&#1506;&#1505;&#1511;&#1497;&#1501;%20(&#1512;&#1497;&#1499;&#1493;&#1494;&#1497;%20&#1502;&#1500;&#1495;&#1497;&#1501;%20&#1489;&#1513;&#1508;&#1499;&#1497;&#1501;%20&#1514;&#1506;&#1513;&#1497;&#1497;&#1514;&#1497;&#1497;&#1501;)&amp;pIzcurNum=5"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inks/psika/?pIzcurLaw=&#1514;&#1511;&#1504;&#1493;&#1514;%20&#1512;&#1497;&#1513;&#1493;&#1497;%20&#1506;&#1505;&#1511;&#1497;&#1501;%20(&#1512;&#1497;&#1499;&#1493;&#1494;&#1497;%20&#1502;&#1500;&#1495;&#1497;&#1501;%20&#1489;&#1513;&#1508;&#1499;&#1497;&#1501;%20&#1514;&#1506;&#1513;&#1497;&#1497;&#1514;&#1497;&#1497;&#1501;)&amp;pIzcurNum=4"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25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פרק 230</vt:lpstr>
    </vt:vector>
  </TitlesOfParts>
  <Company/>
  <LinksUpToDate>false</LinksUpToDate>
  <CharactersWithSpaces>6549</CharactersWithSpaces>
  <SharedDoc>false</SharedDoc>
  <HLinks>
    <vt:vector size="102" baseType="variant">
      <vt:variant>
        <vt:i4>2753928</vt:i4>
      </vt:variant>
      <vt:variant>
        <vt:i4>69</vt:i4>
      </vt:variant>
      <vt:variant>
        <vt:i4>0</vt:i4>
      </vt:variant>
      <vt:variant>
        <vt:i4>5</vt:i4>
      </vt:variant>
      <vt:variant>
        <vt:lpwstr>http://www.nevo.co.il/links/psika/?pIzcurLaw=תקנות רישוי עסקים (ריכוזי מלחים בשפכים תעשייתיים)&amp;pIzcurNum=8</vt:lpwstr>
      </vt:variant>
      <vt:variant>
        <vt:lpwstr/>
      </vt:variant>
      <vt:variant>
        <vt:i4>2426248</vt:i4>
      </vt:variant>
      <vt:variant>
        <vt:i4>66</vt:i4>
      </vt:variant>
      <vt:variant>
        <vt:i4>0</vt:i4>
      </vt:variant>
      <vt:variant>
        <vt:i4>5</vt:i4>
      </vt:variant>
      <vt:variant>
        <vt:lpwstr>http://www.nevo.co.il/links/psika/?pIzcurLaw=תקנות רישוי עסקים (ריכוזי מלחים בשפכים תעשייתיים)&amp;pIzcurNum=7</vt:lpwstr>
      </vt:variant>
      <vt:variant>
        <vt:lpwstr/>
      </vt:variant>
      <vt:variant>
        <vt:i4>2360712</vt:i4>
      </vt:variant>
      <vt:variant>
        <vt:i4>63</vt:i4>
      </vt:variant>
      <vt:variant>
        <vt:i4>0</vt:i4>
      </vt:variant>
      <vt:variant>
        <vt:i4>5</vt:i4>
      </vt:variant>
      <vt:variant>
        <vt:lpwstr>http://www.nevo.co.il/links/psika/?pIzcurLaw=תקנות רישוי עסקים (ריכוזי מלחים בשפכים תעשייתיים)&amp;pIzcurNum=6</vt:lpwstr>
      </vt:variant>
      <vt:variant>
        <vt:lpwstr/>
      </vt:variant>
      <vt:variant>
        <vt:i4>2557320</vt:i4>
      </vt:variant>
      <vt:variant>
        <vt:i4>60</vt:i4>
      </vt:variant>
      <vt:variant>
        <vt:i4>0</vt:i4>
      </vt:variant>
      <vt:variant>
        <vt:i4>5</vt:i4>
      </vt:variant>
      <vt:variant>
        <vt:lpwstr>http://www.nevo.co.il/links/psika/?pIzcurLaw=תקנות רישוי עסקים (ריכוזי מלחים בשפכים תעשייתיים)&amp;pIzcurNum=5</vt:lpwstr>
      </vt:variant>
      <vt:variant>
        <vt:lpwstr/>
      </vt:variant>
      <vt:variant>
        <vt:i4>2491784</vt:i4>
      </vt:variant>
      <vt:variant>
        <vt:i4>57</vt:i4>
      </vt:variant>
      <vt:variant>
        <vt:i4>0</vt:i4>
      </vt:variant>
      <vt:variant>
        <vt:i4>5</vt:i4>
      </vt:variant>
      <vt:variant>
        <vt:lpwstr>http://www.nevo.co.il/links/psika/?pIzcurLaw=תקנות רישוי עסקים (ריכוזי מלחים בשפכים תעשייתיים)&amp;pIzcurNum=4</vt:lpwstr>
      </vt:variant>
      <vt:variant>
        <vt:lpwstr/>
      </vt:variant>
      <vt:variant>
        <vt:i4>2164104</vt:i4>
      </vt:variant>
      <vt:variant>
        <vt:i4>54</vt:i4>
      </vt:variant>
      <vt:variant>
        <vt:i4>0</vt:i4>
      </vt:variant>
      <vt:variant>
        <vt:i4>5</vt:i4>
      </vt:variant>
      <vt:variant>
        <vt:lpwstr>http://www.nevo.co.il/links/psika/?pIzcurLaw=תקנות רישוי עסקים (ריכוזי מלחים בשפכים תעשייתיים)&amp;pIzcurNum=3</vt:lpwstr>
      </vt:variant>
      <vt:variant>
        <vt:lpwstr/>
      </vt:variant>
      <vt:variant>
        <vt:i4>2098568</vt:i4>
      </vt:variant>
      <vt:variant>
        <vt:i4>51</vt:i4>
      </vt:variant>
      <vt:variant>
        <vt:i4>0</vt:i4>
      </vt:variant>
      <vt:variant>
        <vt:i4>5</vt:i4>
      </vt:variant>
      <vt:variant>
        <vt:lpwstr>http://www.nevo.co.il/links/psika/?pIzcurLaw=תקנות רישוי עסקים (ריכוזי מלחים בשפכים תעשייתיים)&amp;pIzcurNum=2</vt:lpwstr>
      </vt:variant>
      <vt:variant>
        <vt:lpwstr/>
      </vt:variant>
      <vt:variant>
        <vt:i4>2295176</vt:i4>
      </vt:variant>
      <vt:variant>
        <vt:i4>48</vt:i4>
      </vt:variant>
      <vt:variant>
        <vt:i4>0</vt:i4>
      </vt:variant>
      <vt:variant>
        <vt:i4>5</vt:i4>
      </vt:variant>
      <vt:variant>
        <vt:lpwstr>http://www.nevo.co.il/links/psika/?pIzcurLaw=תקנות רישוי עסקים (ריכוזי מלחים בשפכים תעשייתיים)&amp;pIzcurNum=1</vt:lpwstr>
      </vt:variant>
      <vt:variant>
        <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7995395</vt:i4>
      </vt:variant>
      <vt:variant>
        <vt:i4>0</vt:i4>
      </vt:variant>
      <vt:variant>
        <vt:i4>0</vt:i4>
      </vt:variant>
      <vt:variant>
        <vt:i4>5</vt:i4>
      </vt:variant>
      <vt:variant>
        <vt:lpwstr>http://www.nevo.co.il/Law_word/law06/TAK-6259.pdf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230</dc:title>
  <dc:subject/>
  <dc:creator>eli</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999</vt:lpwstr>
  </property>
  <property fmtid="{D5CDD505-2E9C-101B-9397-08002B2CF9AE}" pid="3" name="CHNAME">
    <vt:lpwstr>רישוי עסקים</vt:lpwstr>
  </property>
  <property fmtid="{D5CDD505-2E9C-101B-9397-08002B2CF9AE}" pid="4" name="LAWNAME">
    <vt:lpwstr>תקנות רישוי עסקים (ריכוזי מלחים בשפכים תעשייתיים), תשס"ג-2003</vt:lpwstr>
  </property>
  <property fmtid="{D5CDD505-2E9C-101B-9397-08002B2CF9AE}" pid="5" name="LAWNUMBER">
    <vt:lpwstr>0192</vt:lpwstr>
  </property>
  <property fmtid="{D5CDD505-2E9C-101B-9397-08002B2CF9AE}" pid="6" name="TYPE">
    <vt:lpwstr>01</vt:lpwstr>
  </property>
  <property fmtid="{D5CDD505-2E9C-101B-9397-08002B2CF9AE}" pid="7" name="MEKOR_NAME1">
    <vt:lpwstr>חוק רישוי עסקים</vt:lpwstr>
  </property>
  <property fmtid="{D5CDD505-2E9C-101B-9397-08002B2CF9AE}" pid="8" name="MEKOR_SAIF1">
    <vt:lpwstr>10אX</vt:lpwstr>
  </property>
  <property fmtid="{D5CDD505-2E9C-101B-9397-08002B2CF9AE}" pid="9" name="MEKOR_NAME2">
    <vt:lpwstr>חוק-יסוד: הכנסת</vt:lpwstr>
  </property>
  <property fmtid="{D5CDD505-2E9C-101B-9397-08002B2CF9AE}" pid="10" name="MEKOR_SAIF2">
    <vt:lpwstr>21אXאX</vt:lpwstr>
  </property>
  <property fmtid="{D5CDD505-2E9C-101B-9397-08002B2CF9AE}" pid="11" name="MEKOR_NAME3">
    <vt:lpwstr>חוק העונשין</vt:lpwstr>
  </property>
  <property fmtid="{D5CDD505-2E9C-101B-9397-08002B2CF9AE}" pid="12" name="MEKOR_SAIF3">
    <vt:lpwstr>2XבX</vt:lpwstr>
  </property>
  <property fmtid="{D5CDD505-2E9C-101B-9397-08002B2CF9AE}" pid="13" name="NOSE11">
    <vt:lpwstr>רשויות ומשפט מנהלי</vt:lpwstr>
  </property>
  <property fmtid="{D5CDD505-2E9C-101B-9397-08002B2CF9AE}" pid="14" name="NOSE21">
    <vt:lpwstr>רישוי</vt:lpwstr>
  </property>
  <property fmtid="{D5CDD505-2E9C-101B-9397-08002B2CF9AE}" pid="15" name="NOSE31">
    <vt:lpwstr>רישוי עסקים</vt:lpwstr>
  </property>
  <property fmtid="{D5CDD505-2E9C-101B-9397-08002B2CF9AE}" pid="16" name="NOSE41">
    <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ies>
</file>