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1ED" w:rsidRDefault="00F621ED">
      <w:pPr>
        <w:pStyle w:val="big-header"/>
        <w:ind w:left="0" w:right="1134"/>
        <w:rPr>
          <w:rFonts w:hint="cs"/>
          <w:rtl/>
        </w:rPr>
      </w:pPr>
      <w:r>
        <w:rPr>
          <w:rtl/>
        </w:rPr>
        <w:t>תקנות רישוי עסקים (תחנת מעבר לפסולת), תשנ"ח</w:t>
      </w:r>
      <w:r>
        <w:rPr>
          <w:rFonts w:hint="cs"/>
          <w:rtl/>
        </w:rPr>
        <w:t>-</w:t>
      </w:r>
      <w:r>
        <w:rPr>
          <w:rtl/>
        </w:rPr>
        <w:t>1998</w:t>
      </w:r>
    </w:p>
    <w:p w:rsidR="00701C7B" w:rsidRDefault="00701C7B" w:rsidP="00701C7B">
      <w:pPr>
        <w:spacing w:line="320" w:lineRule="auto"/>
        <w:jc w:val="left"/>
        <w:rPr>
          <w:rtl/>
        </w:rPr>
      </w:pPr>
    </w:p>
    <w:p w:rsidR="00701C7B" w:rsidRDefault="00701C7B" w:rsidP="00701C7B">
      <w:pPr>
        <w:spacing w:line="320" w:lineRule="auto"/>
        <w:jc w:val="left"/>
        <w:rPr>
          <w:rFonts w:cs="Miriam"/>
          <w:szCs w:val="22"/>
          <w:rtl/>
        </w:rPr>
      </w:pPr>
      <w:r w:rsidRPr="00701C7B">
        <w:rPr>
          <w:rFonts w:cs="Miriam"/>
          <w:szCs w:val="22"/>
          <w:rtl/>
        </w:rPr>
        <w:t>רשויות ומשפט מנהלי</w:t>
      </w:r>
      <w:r w:rsidRPr="00701C7B">
        <w:rPr>
          <w:rFonts w:cs="FrankRuehl"/>
          <w:szCs w:val="26"/>
          <w:rtl/>
        </w:rPr>
        <w:t xml:space="preserve"> – רישוי – רישוי עסקים</w:t>
      </w:r>
    </w:p>
    <w:p w:rsidR="00701C7B" w:rsidRDefault="00701C7B" w:rsidP="00701C7B">
      <w:pPr>
        <w:spacing w:line="320" w:lineRule="auto"/>
        <w:jc w:val="left"/>
        <w:rPr>
          <w:rFonts w:cs="Miriam"/>
          <w:szCs w:val="22"/>
          <w:rtl/>
        </w:rPr>
      </w:pPr>
      <w:r w:rsidRPr="00701C7B">
        <w:rPr>
          <w:rFonts w:cs="Miriam"/>
          <w:szCs w:val="22"/>
          <w:rtl/>
        </w:rPr>
        <w:t>בריאות</w:t>
      </w:r>
      <w:r w:rsidRPr="00701C7B">
        <w:rPr>
          <w:rFonts w:cs="FrankRuehl"/>
          <w:szCs w:val="26"/>
          <w:rtl/>
        </w:rPr>
        <w:t xml:space="preserve"> – חומרים מסוכנים</w:t>
      </w:r>
    </w:p>
    <w:p w:rsidR="00701C7B" w:rsidRDefault="00701C7B" w:rsidP="00701C7B">
      <w:pPr>
        <w:spacing w:line="320" w:lineRule="auto"/>
        <w:jc w:val="left"/>
        <w:rPr>
          <w:rFonts w:cs="Miriam"/>
          <w:szCs w:val="22"/>
          <w:rtl/>
        </w:rPr>
      </w:pPr>
      <w:r w:rsidRPr="00701C7B">
        <w:rPr>
          <w:rFonts w:cs="Miriam"/>
          <w:szCs w:val="22"/>
          <w:rtl/>
        </w:rPr>
        <w:t>חקלאות טבע וסביבה</w:t>
      </w:r>
      <w:r w:rsidRPr="00701C7B">
        <w:rPr>
          <w:rFonts w:cs="FrankRuehl"/>
          <w:szCs w:val="26"/>
          <w:rtl/>
        </w:rPr>
        <w:t xml:space="preserve"> – חומרים מסוכנים</w:t>
      </w:r>
    </w:p>
    <w:p w:rsidR="00701C7B" w:rsidRPr="00701C7B" w:rsidRDefault="00701C7B" w:rsidP="00701C7B">
      <w:pPr>
        <w:spacing w:line="320" w:lineRule="auto"/>
        <w:jc w:val="left"/>
        <w:rPr>
          <w:rFonts w:cs="Miriam" w:hint="cs"/>
          <w:szCs w:val="22"/>
          <w:rtl/>
        </w:rPr>
      </w:pPr>
      <w:r w:rsidRPr="00701C7B">
        <w:rPr>
          <w:rFonts w:cs="Miriam"/>
          <w:szCs w:val="22"/>
          <w:rtl/>
        </w:rPr>
        <w:t>חקלאות טבע וסביבה</w:t>
      </w:r>
      <w:r w:rsidRPr="00701C7B">
        <w:rPr>
          <w:rFonts w:cs="FrankRuehl"/>
          <w:szCs w:val="26"/>
          <w:rtl/>
        </w:rPr>
        <w:t xml:space="preserve"> – איכות הסביבה – פסולת ומיחזור</w:t>
      </w:r>
    </w:p>
    <w:p w:rsidR="00F621ED" w:rsidRDefault="00F621E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1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הגדרות</w:t>
            </w:r>
          </w:p>
        </w:tc>
        <w:tc>
          <w:tcPr>
            <w:tcW w:w="567" w:type="dxa"/>
          </w:tcPr>
          <w:p w:rsidR="00503D2D" w:rsidRPr="00503D2D" w:rsidRDefault="00503D2D" w:rsidP="00503D2D">
            <w:pPr>
              <w:spacing w:line="240" w:lineRule="auto"/>
              <w:jc w:val="left"/>
              <w:rPr>
                <w:rStyle w:val="Hyperlink"/>
                <w:rtl/>
              </w:rPr>
            </w:pPr>
            <w:hyperlink w:anchor="Seif1" w:tooltip="הגדרות"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פרק א': תשתית תחנת מעבר לפסולת</w:t>
            </w:r>
          </w:p>
        </w:tc>
        <w:tc>
          <w:tcPr>
            <w:tcW w:w="567" w:type="dxa"/>
          </w:tcPr>
          <w:p w:rsidR="00503D2D" w:rsidRPr="00503D2D" w:rsidRDefault="00503D2D" w:rsidP="00503D2D">
            <w:pPr>
              <w:spacing w:line="240" w:lineRule="auto"/>
              <w:jc w:val="left"/>
              <w:rPr>
                <w:rStyle w:val="Hyperlink"/>
                <w:rtl/>
              </w:rPr>
            </w:pPr>
            <w:hyperlink w:anchor="med0" w:tooltip="פרק א: תשתית תחנת מעבר לפסולת"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2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מבנה</w:t>
            </w:r>
          </w:p>
        </w:tc>
        <w:tc>
          <w:tcPr>
            <w:tcW w:w="567" w:type="dxa"/>
          </w:tcPr>
          <w:p w:rsidR="00503D2D" w:rsidRPr="00503D2D" w:rsidRDefault="00503D2D" w:rsidP="00503D2D">
            <w:pPr>
              <w:spacing w:line="240" w:lineRule="auto"/>
              <w:jc w:val="left"/>
              <w:rPr>
                <w:rStyle w:val="Hyperlink"/>
                <w:rtl/>
              </w:rPr>
            </w:pPr>
            <w:hyperlink w:anchor="Seif2" w:tooltip="מבנה"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3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מיתקן טיפול בתשטיפים</w:t>
            </w:r>
          </w:p>
        </w:tc>
        <w:tc>
          <w:tcPr>
            <w:tcW w:w="567" w:type="dxa"/>
          </w:tcPr>
          <w:p w:rsidR="00503D2D" w:rsidRPr="00503D2D" w:rsidRDefault="00503D2D" w:rsidP="00503D2D">
            <w:pPr>
              <w:spacing w:line="240" w:lineRule="auto"/>
              <w:jc w:val="left"/>
              <w:rPr>
                <w:rStyle w:val="Hyperlink"/>
                <w:rtl/>
              </w:rPr>
            </w:pPr>
            <w:hyperlink w:anchor="Seif3" w:tooltip="מיתקן טיפול בתשטיפים"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פרק ב': הפעלת תחנת מעבר</w:t>
            </w:r>
          </w:p>
        </w:tc>
        <w:tc>
          <w:tcPr>
            <w:tcW w:w="567" w:type="dxa"/>
          </w:tcPr>
          <w:p w:rsidR="00503D2D" w:rsidRPr="00503D2D" w:rsidRDefault="00503D2D" w:rsidP="00503D2D">
            <w:pPr>
              <w:spacing w:line="240" w:lineRule="auto"/>
              <w:jc w:val="left"/>
              <w:rPr>
                <w:rStyle w:val="Hyperlink"/>
                <w:rtl/>
              </w:rPr>
            </w:pPr>
            <w:hyperlink w:anchor="med1" w:tooltip="פרק ב: הפעלת תחנת מעבר"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4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כניסת פסולת</w:t>
            </w:r>
          </w:p>
        </w:tc>
        <w:tc>
          <w:tcPr>
            <w:tcW w:w="567" w:type="dxa"/>
          </w:tcPr>
          <w:p w:rsidR="00503D2D" w:rsidRPr="00503D2D" w:rsidRDefault="00503D2D" w:rsidP="00503D2D">
            <w:pPr>
              <w:spacing w:line="240" w:lineRule="auto"/>
              <w:jc w:val="left"/>
              <w:rPr>
                <w:rStyle w:val="Hyperlink"/>
                <w:rtl/>
              </w:rPr>
            </w:pPr>
            <w:hyperlink w:anchor="Seif4" w:tooltip="כניסת פסולת"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5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טיפול בפסולת</w:t>
            </w:r>
          </w:p>
        </w:tc>
        <w:tc>
          <w:tcPr>
            <w:tcW w:w="567" w:type="dxa"/>
          </w:tcPr>
          <w:p w:rsidR="00503D2D" w:rsidRPr="00503D2D" w:rsidRDefault="00503D2D" w:rsidP="00503D2D">
            <w:pPr>
              <w:spacing w:line="240" w:lineRule="auto"/>
              <w:jc w:val="left"/>
              <w:rPr>
                <w:rStyle w:val="Hyperlink"/>
                <w:rtl/>
              </w:rPr>
            </w:pPr>
            <w:hyperlink w:anchor="Seif5" w:tooltip="טיפול בפסולת"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6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הפעלה</w:t>
            </w:r>
          </w:p>
        </w:tc>
        <w:tc>
          <w:tcPr>
            <w:tcW w:w="567" w:type="dxa"/>
          </w:tcPr>
          <w:p w:rsidR="00503D2D" w:rsidRPr="00503D2D" w:rsidRDefault="00503D2D" w:rsidP="00503D2D">
            <w:pPr>
              <w:spacing w:line="240" w:lineRule="auto"/>
              <w:jc w:val="left"/>
              <w:rPr>
                <w:rStyle w:val="Hyperlink"/>
                <w:rtl/>
              </w:rPr>
            </w:pPr>
            <w:hyperlink w:anchor="Seif6" w:tooltip="הפעלה"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פרק ג': הוראות שונות</w:t>
            </w:r>
          </w:p>
        </w:tc>
        <w:tc>
          <w:tcPr>
            <w:tcW w:w="567" w:type="dxa"/>
          </w:tcPr>
          <w:p w:rsidR="00503D2D" w:rsidRPr="00503D2D" w:rsidRDefault="00503D2D" w:rsidP="00503D2D">
            <w:pPr>
              <w:spacing w:line="240" w:lineRule="auto"/>
              <w:jc w:val="left"/>
              <w:rPr>
                <w:rStyle w:val="Hyperlink"/>
                <w:rtl/>
              </w:rPr>
            </w:pPr>
            <w:hyperlink w:anchor="med2" w:tooltip="פרק ג: הוראות שונות"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7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סייג לתחולה</w:t>
            </w:r>
          </w:p>
        </w:tc>
        <w:tc>
          <w:tcPr>
            <w:tcW w:w="567" w:type="dxa"/>
          </w:tcPr>
          <w:p w:rsidR="00503D2D" w:rsidRPr="00503D2D" w:rsidRDefault="00503D2D" w:rsidP="00503D2D">
            <w:pPr>
              <w:spacing w:line="240" w:lineRule="auto"/>
              <w:jc w:val="left"/>
              <w:rPr>
                <w:rStyle w:val="Hyperlink"/>
                <w:rtl/>
              </w:rPr>
            </w:pPr>
            <w:hyperlink w:anchor="Seif7" w:tooltip="סייג לתחולה"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8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מניעת מפגעים</w:t>
            </w:r>
          </w:p>
        </w:tc>
        <w:tc>
          <w:tcPr>
            <w:tcW w:w="567" w:type="dxa"/>
          </w:tcPr>
          <w:p w:rsidR="00503D2D" w:rsidRPr="00503D2D" w:rsidRDefault="00503D2D" w:rsidP="00503D2D">
            <w:pPr>
              <w:spacing w:line="240" w:lineRule="auto"/>
              <w:jc w:val="left"/>
              <w:rPr>
                <w:rStyle w:val="Hyperlink"/>
                <w:rtl/>
              </w:rPr>
            </w:pPr>
            <w:hyperlink w:anchor="Seif8" w:tooltip="מניעת מפגעים"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9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שמירת דינים</w:t>
            </w:r>
          </w:p>
        </w:tc>
        <w:tc>
          <w:tcPr>
            <w:tcW w:w="567" w:type="dxa"/>
          </w:tcPr>
          <w:p w:rsidR="00503D2D" w:rsidRPr="00503D2D" w:rsidRDefault="00503D2D" w:rsidP="00503D2D">
            <w:pPr>
              <w:spacing w:line="240" w:lineRule="auto"/>
              <w:jc w:val="left"/>
              <w:rPr>
                <w:rStyle w:val="Hyperlink"/>
                <w:rtl/>
              </w:rPr>
            </w:pPr>
            <w:hyperlink w:anchor="Seif9" w:tooltip="שמירת דינים"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03D2D" w:rsidRPr="00503D2D">
        <w:tblPrEx>
          <w:tblCellMar>
            <w:top w:w="0" w:type="dxa"/>
            <w:bottom w:w="0" w:type="dxa"/>
          </w:tblCellMar>
        </w:tblPrEx>
        <w:tc>
          <w:tcPr>
            <w:tcW w:w="1247" w:type="dxa"/>
          </w:tcPr>
          <w:p w:rsidR="00503D2D" w:rsidRPr="00503D2D" w:rsidRDefault="00503D2D" w:rsidP="00503D2D">
            <w:pPr>
              <w:spacing w:line="240" w:lineRule="auto"/>
              <w:jc w:val="left"/>
              <w:rPr>
                <w:rFonts w:cs="Frankruhel"/>
                <w:sz w:val="24"/>
                <w:rtl/>
              </w:rPr>
            </w:pPr>
            <w:r>
              <w:rPr>
                <w:rFonts w:cs="Times New Roman"/>
                <w:sz w:val="24"/>
                <w:rtl/>
              </w:rPr>
              <w:t xml:space="preserve">סעיף 10 </w:t>
            </w:r>
          </w:p>
        </w:tc>
        <w:tc>
          <w:tcPr>
            <w:tcW w:w="5669" w:type="dxa"/>
          </w:tcPr>
          <w:p w:rsidR="00503D2D" w:rsidRPr="00503D2D" w:rsidRDefault="00503D2D" w:rsidP="00503D2D">
            <w:pPr>
              <w:spacing w:line="240" w:lineRule="auto"/>
              <w:jc w:val="left"/>
              <w:rPr>
                <w:rFonts w:cs="Frankruhel"/>
                <w:sz w:val="24"/>
                <w:rtl/>
              </w:rPr>
            </w:pPr>
            <w:r>
              <w:rPr>
                <w:rFonts w:cs="Times New Roman"/>
                <w:sz w:val="24"/>
                <w:rtl/>
              </w:rPr>
              <w:t>תחילה</w:t>
            </w:r>
          </w:p>
        </w:tc>
        <w:tc>
          <w:tcPr>
            <w:tcW w:w="567" w:type="dxa"/>
          </w:tcPr>
          <w:p w:rsidR="00503D2D" w:rsidRPr="00503D2D" w:rsidRDefault="00503D2D" w:rsidP="00503D2D">
            <w:pPr>
              <w:spacing w:line="240" w:lineRule="auto"/>
              <w:jc w:val="left"/>
              <w:rPr>
                <w:rStyle w:val="Hyperlink"/>
                <w:rtl/>
              </w:rPr>
            </w:pPr>
            <w:hyperlink w:anchor="Seif10" w:tooltip="תחילה" w:history="1">
              <w:r w:rsidRPr="00503D2D">
                <w:rPr>
                  <w:rStyle w:val="Hyperlink"/>
                </w:rPr>
                <w:t>Go</w:t>
              </w:r>
            </w:hyperlink>
          </w:p>
        </w:tc>
        <w:tc>
          <w:tcPr>
            <w:tcW w:w="850" w:type="dxa"/>
          </w:tcPr>
          <w:p w:rsidR="00503D2D" w:rsidRPr="00503D2D" w:rsidRDefault="00503D2D" w:rsidP="00503D2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F621ED" w:rsidRDefault="00F621ED">
      <w:pPr>
        <w:pStyle w:val="big-header"/>
        <w:ind w:left="0" w:right="1134"/>
        <w:rPr>
          <w:rtl/>
        </w:rPr>
      </w:pPr>
    </w:p>
    <w:p w:rsidR="00F621ED" w:rsidRDefault="00F621ED" w:rsidP="00701C7B">
      <w:pPr>
        <w:pStyle w:val="big-header"/>
        <w:ind w:left="0" w:right="1134"/>
        <w:rPr>
          <w:rStyle w:val="default"/>
          <w:rFonts w:cs="FrankRuehl" w:hint="cs"/>
          <w:rtl/>
        </w:rPr>
      </w:pPr>
      <w:r>
        <w:rPr>
          <w:rtl/>
        </w:rPr>
        <w:br w:type="page"/>
      </w:r>
      <w:r w:rsidR="00701C7B">
        <w:rPr>
          <w:rtl/>
        </w:rPr>
        <w:lastRenderedPageBreak/>
        <w:t xml:space="preserve"> </w:t>
      </w:r>
      <w:r>
        <w:rPr>
          <w:rtl/>
        </w:rPr>
        <w:t>ת</w:t>
      </w:r>
      <w:r>
        <w:rPr>
          <w:rFonts w:hint="cs"/>
          <w:rtl/>
        </w:rPr>
        <w:t>קנות רישוי עסקים (תחנת מעבר לפסולת), תשנ"ח-1998</w:t>
      </w:r>
      <w:r>
        <w:rPr>
          <w:rStyle w:val="default"/>
          <w:rtl/>
        </w:rPr>
        <w:footnoteReference w:customMarkFollows="1" w:id="1"/>
        <w:t>*</w:t>
      </w:r>
    </w:p>
    <w:p w:rsidR="00F621ED" w:rsidRDefault="00F621E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10א לחוק רישוי עסקים, תשכ"ח-1968 (להלן - החוק), בהתייעצות עם</w:t>
      </w:r>
      <w:r>
        <w:rPr>
          <w:rStyle w:val="default"/>
          <w:rFonts w:cs="FrankRuehl"/>
          <w:rtl/>
        </w:rPr>
        <w:t xml:space="preserve"> </w:t>
      </w:r>
      <w:r>
        <w:rPr>
          <w:rStyle w:val="default"/>
          <w:rFonts w:cs="FrankRuehl" w:hint="cs"/>
          <w:rtl/>
        </w:rPr>
        <w:t>שר הבריאות, ובאישור ועדת הפנים ואיכות הסביבה של הכנסת לפי סעיף 48(א) לחוק-יסוד: הממשלה, וסעיף 2(ב) לחוק העונשין, תשל"ז-1977, אני מתקין תקנות אלה:</w:t>
      </w:r>
    </w:p>
    <w:p w:rsidR="00F621ED" w:rsidRDefault="00F621E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6pt;z-index:251652608"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אתר לטיפול בפסולת" - מקום המשמש לטיפול בפסולת,</w:t>
      </w:r>
      <w:r>
        <w:rPr>
          <w:rStyle w:val="default"/>
          <w:rFonts w:cs="FrankRuehl"/>
          <w:rtl/>
        </w:rPr>
        <w:t xml:space="preserve"> </w:t>
      </w:r>
      <w:r>
        <w:rPr>
          <w:rStyle w:val="default"/>
          <w:rFonts w:cs="FrankRuehl" w:hint="cs"/>
          <w:rtl/>
        </w:rPr>
        <w:t>באמצעות שריפתה, עיבודה וכיוצא באל</w:t>
      </w:r>
      <w:r>
        <w:rPr>
          <w:rStyle w:val="default"/>
          <w:rFonts w:cs="FrankRuehl"/>
          <w:rtl/>
        </w:rPr>
        <w:t>ה</w:t>
      </w:r>
      <w:r>
        <w:rPr>
          <w:rStyle w:val="default"/>
          <w:rFonts w:cs="FrankRuehl" w:hint="cs"/>
          <w:rtl/>
        </w:rPr>
        <w:t>, המורשה על פי כל דין, ולמעט אתר לסילוק פסולת;</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אתר לסילוק פסולת" - מקום המשמש לפינוי ולסילוק פסולת, באמצעות הידוקה וכיסויה באופן מבוקר בחומר כיסוי והמורשה על פי כל דין;</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מסוכן" - כהגדרתו בתקנות רישוי עסקים (סילוק פסולת חומרים מסוכנים), תשנ"א-1990 </w:t>
      </w:r>
      <w:r>
        <w:rPr>
          <w:rStyle w:val="default"/>
          <w:rFonts w:cs="FrankRuehl"/>
          <w:rtl/>
        </w:rPr>
        <w:t>(</w:t>
      </w:r>
      <w:r>
        <w:rPr>
          <w:rStyle w:val="default"/>
          <w:rFonts w:cs="FrankRuehl" w:hint="cs"/>
          <w:rtl/>
        </w:rPr>
        <w:t>להלן - תקנות סילוק פסולת חומרים מסוכנים);</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שימושי קרקע רגישים" - בתי מגורים, בתי חולים, מיתקני נופש, מיתקני תיירות או חינוך, מפעלי מזון או תרופות;</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תחנת מעבר" או "מפעיל" - כל אחד מאלה:</w:t>
      </w:r>
    </w:p>
    <w:p w:rsidR="00F621ED" w:rsidRDefault="00F621E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הבעל או המחזיק בתחנת מעבר;</w:t>
      </w:r>
    </w:p>
    <w:p w:rsidR="00F621ED" w:rsidRDefault="00F621E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רשיון העסק או מבקש הרשי</w:t>
      </w:r>
      <w:r>
        <w:rPr>
          <w:rStyle w:val="default"/>
          <w:rFonts w:cs="FrankRuehl"/>
          <w:rtl/>
        </w:rPr>
        <w:t>ו</w:t>
      </w:r>
      <w:r>
        <w:rPr>
          <w:rStyle w:val="default"/>
          <w:rFonts w:cs="FrankRuehl" w:hint="cs"/>
          <w:rtl/>
        </w:rPr>
        <w:t>ן, לפי הענין;</w:t>
      </w:r>
    </w:p>
    <w:p w:rsidR="00F621ED" w:rsidRDefault="00F621E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האדם שבהשגחתו, בניהולו או בפיקוחו פועלת תחנת המעבר;</w:t>
      </w:r>
    </w:p>
    <w:p w:rsidR="00F621ED" w:rsidRDefault="00F621ED">
      <w:pPr>
        <w:pStyle w:val="P00"/>
        <w:spacing w:before="72"/>
        <w:ind w:left="0" w:right="1134"/>
        <w:rPr>
          <w:rtl/>
        </w:rPr>
      </w:pPr>
      <w:r>
        <w:rPr>
          <w:rFonts w:hint="cs"/>
          <w:rtl/>
        </w:rPr>
        <w:tab/>
      </w:r>
      <w:r>
        <w:rPr>
          <w:rtl/>
        </w:rPr>
        <w:t>"</w:t>
      </w:r>
      <w:r>
        <w:rPr>
          <w:rFonts w:hint="cs"/>
          <w:rtl/>
        </w:rPr>
        <w:t>מיתקני תשתית" - קירות ומערכת תת-לחץ בתחנת מעבר, המיועדים למנוע פליטת ריחות לסביבה;</w:t>
      </w:r>
    </w:p>
    <w:p w:rsidR="00F621ED" w:rsidRDefault="00F621ED">
      <w:pPr>
        <w:pStyle w:val="P00"/>
        <w:spacing w:before="72"/>
        <w:ind w:left="0" w:right="1134"/>
        <w:rPr>
          <w:rtl/>
        </w:rPr>
      </w:pPr>
      <w:r>
        <w:rPr>
          <w:rFonts w:hint="cs"/>
          <w:rtl/>
        </w:rPr>
        <w:tab/>
      </w:r>
      <w:r>
        <w:rPr>
          <w:rtl/>
        </w:rPr>
        <w:t>"</w:t>
      </w:r>
      <w:r>
        <w:rPr>
          <w:rFonts w:hint="cs"/>
          <w:rtl/>
        </w:rPr>
        <w:t>נגר עילי" - זרימה של מים, שלא באו במגע עם פסולת, על פני הקרקע;</w:t>
      </w:r>
    </w:p>
    <w:p w:rsidR="00F621ED" w:rsidRDefault="00F621ED">
      <w:pPr>
        <w:pStyle w:val="P00"/>
        <w:spacing w:before="72"/>
        <w:ind w:left="0" w:right="1134"/>
        <w:rPr>
          <w:rtl/>
        </w:rPr>
      </w:pPr>
      <w:r>
        <w:rPr>
          <w:rFonts w:hint="cs"/>
          <w:rtl/>
        </w:rPr>
        <w:tab/>
      </w:r>
      <w:r>
        <w:rPr>
          <w:rtl/>
        </w:rPr>
        <w:t>"</w:t>
      </w:r>
      <w:r>
        <w:rPr>
          <w:rFonts w:hint="cs"/>
          <w:rtl/>
        </w:rPr>
        <w:t xml:space="preserve">פסולת" - אשפה, זבל וגרוטאות מכל סוג וצורה לרבות אשפה ביתית, פסולת צמחים, פסולת רפואית ופסולת שמקורה בבית עסק, בבית מלאכה, </w:t>
      </w:r>
      <w:r>
        <w:rPr>
          <w:rtl/>
        </w:rPr>
        <w:t>ב</w:t>
      </w:r>
      <w:r>
        <w:rPr>
          <w:rFonts w:hint="cs"/>
          <w:rtl/>
        </w:rPr>
        <w:t>תעשיה או בחקלאות, ולמעט פסולת בנין;</w:t>
      </w:r>
    </w:p>
    <w:p w:rsidR="00F621ED" w:rsidRDefault="00F621ED">
      <w:pPr>
        <w:pStyle w:val="P00"/>
        <w:spacing w:before="72"/>
        <w:ind w:left="0" w:right="1134"/>
        <w:rPr>
          <w:rtl/>
        </w:rPr>
      </w:pPr>
      <w:r>
        <w:rPr>
          <w:rFonts w:hint="cs"/>
          <w:rtl/>
        </w:rPr>
        <w:tab/>
      </w:r>
      <w:r>
        <w:rPr>
          <w:rtl/>
        </w:rPr>
        <w:t>"</w:t>
      </w:r>
      <w:r>
        <w:rPr>
          <w:rFonts w:hint="cs"/>
          <w:rtl/>
        </w:rPr>
        <w:t>פסולת בנין" - חומרים ושיירי חומרים המשמשים לבניה או שמשתמשים בהם בקשר לעבודות בניה, לרבות ערימות אדמה וחלקי הריסות של מבנים;</w:t>
      </w:r>
    </w:p>
    <w:p w:rsidR="00F621ED" w:rsidRDefault="00F621ED">
      <w:pPr>
        <w:pStyle w:val="P00"/>
        <w:spacing w:before="72"/>
        <w:ind w:left="0" w:right="1134"/>
        <w:rPr>
          <w:rtl/>
        </w:rPr>
      </w:pPr>
      <w:r>
        <w:rPr>
          <w:rFonts w:hint="cs"/>
          <w:rtl/>
        </w:rPr>
        <w:tab/>
      </w:r>
      <w:r>
        <w:rPr>
          <w:rtl/>
        </w:rPr>
        <w:t>"</w:t>
      </w:r>
      <w:r>
        <w:rPr>
          <w:rFonts w:hint="cs"/>
          <w:rtl/>
        </w:rPr>
        <w:t>פסולת חומר מסוכן" - כהגדרת "פסולת" בתקנות סילוק פסולת חומרים מסוכנים;</w:t>
      </w:r>
    </w:p>
    <w:p w:rsidR="00F621ED" w:rsidRDefault="00F621ED">
      <w:pPr>
        <w:pStyle w:val="P00"/>
        <w:spacing w:before="72"/>
        <w:ind w:left="0" w:right="1134"/>
        <w:rPr>
          <w:rtl/>
        </w:rPr>
      </w:pPr>
      <w:r>
        <w:rPr>
          <w:rFonts w:hint="cs"/>
          <w:rtl/>
        </w:rPr>
        <w:tab/>
      </w:r>
      <w:r>
        <w:rPr>
          <w:rtl/>
        </w:rPr>
        <w:t>"</w:t>
      </w:r>
      <w:r>
        <w:rPr>
          <w:rFonts w:hint="cs"/>
          <w:rtl/>
        </w:rPr>
        <w:t>פסולת רפואית" - כהגדר</w:t>
      </w:r>
      <w:r>
        <w:rPr>
          <w:rtl/>
        </w:rPr>
        <w:t>ת</w:t>
      </w:r>
      <w:r>
        <w:rPr>
          <w:rFonts w:hint="cs"/>
          <w:rtl/>
        </w:rPr>
        <w:t xml:space="preserve"> "פסולת רגילה" בתקנות בריאות העם (טיפול בפסולת במוסדות רפואיים), תשנ"ז-1997; </w:t>
      </w:r>
    </w:p>
    <w:p w:rsidR="00F621ED" w:rsidRDefault="00F621ED">
      <w:pPr>
        <w:pStyle w:val="P00"/>
        <w:spacing w:before="72"/>
        <w:ind w:left="0" w:right="1134"/>
        <w:rPr>
          <w:rtl/>
        </w:rPr>
      </w:pPr>
      <w:r>
        <w:rPr>
          <w:rFonts w:hint="cs"/>
          <w:rtl/>
        </w:rPr>
        <w:tab/>
      </w:r>
      <w:r>
        <w:rPr>
          <w:rtl/>
        </w:rPr>
        <w:t>"</w:t>
      </w:r>
      <w:r>
        <w:rPr>
          <w:rFonts w:hint="cs"/>
          <w:rtl/>
        </w:rPr>
        <w:t>תחנת מעבר" - תחנת מעבר לפסולת ותחנת מעבר לפסולת בנין, שהיא מיתקן נייח וקבוע שבו נעשה אחד מאלה:</w:t>
      </w:r>
    </w:p>
    <w:p w:rsidR="00F621ED" w:rsidRDefault="00F621E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העברה של פסולת או של פסולת בנין, במהלך פינויה וסילוקה מכלי קיבול אחד, לרבות ר</w:t>
      </w:r>
      <w:r>
        <w:rPr>
          <w:rStyle w:val="default"/>
          <w:rFonts w:cs="FrankRuehl"/>
          <w:rtl/>
        </w:rPr>
        <w:t>כ</w:t>
      </w:r>
      <w:r>
        <w:rPr>
          <w:rStyle w:val="default"/>
          <w:rFonts w:cs="FrankRuehl" w:hint="cs"/>
          <w:rtl/>
        </w:rPr>
        <w:t>ב להובלת אשפה, לכלי קיבול אחר;</w:t>
      </w:r>
    </w:p>
    <w:p w:rsidR="00F621ED" w:rsidRDefault="00F621E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מיון של פסולת או של פסולת בנין לרכיביה לצורכי מיחזור או שימוש חוזר;</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תשטיפים" - נוזלים שהיו במגע עם פסולת, או נבעו מפסולת.</w:t>
      </w:r>
    </w:p>
    <w:p w:rsidR="00F621ED" w:rsidRDefault="00F621ED">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תשתית תחנת מעבר לפסולת</w:t>
      </w:r>
    </w:p>
    <w:p w:rsidR="00F621ED" w:rsidRDefault="00F621ED">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5.8pt;z-index:251653632"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מ</w:t>
                  </w:r>
                  <w:r>
                    <w:rPr>
                      <w:rFonts w:cs="Miriam" w:hint="cs"/>
                      <w:szCs w:val="18"/>
                      <w:rtl/>
                    </w:rPr>
                    <w:t>בנה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חנת מעבר תיבנה לפי הדרישות המפורטות להלן:</w:t>
      </w:r>
    </w:p>
    <w:p w:rsidR="00F621ED" w:rsidRDefault="00F621ED">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שטחה י</w:t>
      </w:r>
      <w:r>
        <w:rPr>
          <w:rStyle w:val="default"/>
          <w:rFonts w:cs="FrankRuehl"/>
          <w:rtl/>
        </w:rPr>
        <w:t>ג</w:t>
      </w:r>
      <w:r>
        <w:rPr>
          <w:rStyle w:val="default"/>
          <w:rFonts w:cs="FrankRuehl" w:hint="cs"/>
          <w:rtl/>
        </w:rPr>
        <w:t>ודר גידור היקפי אטום, בגובה שני מטרים לפחות;</w:t>
      </w:r>
    </w:p>
    <w:p w:rsidR="00F621ED" w:rsidRDefault="00F621E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בשער הכניסה יוצב שלט ובו יפורט שם המפעיל, מענו, מספר טלפון שבאמצעותו ניתן להשיגו במשך כל שעות היממה, שעות העבודה בתחנה ואיסור על הכנסת חומרים בהתאם להוראות תקנה 4; </w:t>
      </w:r>
    </w:p>
    <w:p w:rsidR="00F621ED" w:rsidRDefault="00F621ED">
      <w:pPr>
        <w:pStyle w:val="P11"/>
        <w:spacing w:before="72"/>
        <w:ind w:left="624"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תותקן בה מערכת כיבוי אש לפי דרישות רש</w:t>
      </w:r>
      <w:r>
        <w:rPr>
          <w:rStyle w:val="default"/>
          <w:rFonts w:cs="FrankRuehl"/>
          <w:rtl/>
        </w:rPr>
        <w:t>ו</w:t>
      </w:r>
      <w:r>
        <w:rPr>
          <w:rStyle w:val="default"/>
          <w:rFonts w:cs="FrankRuehl" w:hint="cs"/>
          <w:rtl/>
        </w:rPr>
        <w:t>ת הרישוי;</w:t>
      </w:r>
    </w:p>
    <w:p w:rsidR="00F621ED" w:rsidRDefault="00F621E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בשטחה ייבנה בנין למשרד ובו שירותים ומקלחת, שיחוברו למערכת הביוב של הרשות המקומית;</w:t>
      </w:r>
    </w:p>
    <w:p w:rsidR="00F621ED" w:rsidRDefault="00F621E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בשטחה תיבנה מערכת לשטיפת רכב להובלת אשפה וכלי קיבול לאשפה; מי השטיפה יועברו באמצעות תעלות ניקוז אל מיתקן הטיפול בתשטיפים;</w:t>
      </w:r>
    </w:p>
    <w:p w:rsidR="00F621ED" w:rsidRDefault="00F621ED">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תחנת מעבר תצויד במיתקני תשתית כמפורט בטור א' בתוספת, בהתאם לאופן הטיפול בפסולת, כמפורט בטור ב' בתוספת, למרחק משימושי קרקע רגישים, כמפורט בטור ג' בתוספת ולכמות הפסולת היומית בה, כמפורט בטור ד' בתוספת;</w:t>
      </w:r>
    </w:p>
    <w:p w:rsidR="00F621ED" w:rsidRDefault="00F621ED">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שטח תחנת מעבר יהיה אטום לחלחול ובנוי בשיפוע, כדי שת</w:t>
      </w:r>
      <w:r>
        <w:rPr>
          <w:rStyle w:val="default"/>
          <w:rFonts w:cs="FrankRuehl"/>
          <w:rtl/>
        </w:rPr>
        <w:t>ש</w:t>
      </w:r>
      <w:r>
        <w:rPr>
          <w:rStyle w:val="default"/>
          <w:rFonts w:cs="FrankRuehl" w:hint="cs"/>
          <w:rtl/>
        </w:rPr>
        <w:t>טיפים יזרמו לתעלות ניקוז ודרכן למיתקן לטיפול בתשטיפים;</w:t>
      </w:r>
    </w:p>
    <w:p w:rsidR="00F621ED" w:rsidRDefault="00F621ED">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סביב תחנת המעבר תיחפר תעלת ניקוז, עשויה בטון ומכוסה ברשת קשיחה, שתמנע חדירת נגר עילי מהסביבה אל שטח תחנת המעבר.</w:t>
      </w:r>
    </w:p>
    <w:p w:rsidR="00F621ED" w:rsidRDefault="00F621ED">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20.85pt;z-index:251654656"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מ</w:t>
                  </w:r>
                  <w:r>
                    <w:rPr>
                      <w:rFonts w:cs="Miriam" w:hint="cs"/>
                      <w:szCs w:val="18"/>
                      <w:rtl/>
                    </w:rPr>
                    <w:t>יתקן טיפול בתשטיפים</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פעיל יתקין בתחנת מעבר מיתקן לטיפול בתשטיפים, מצויד</w:t>
      </w:r>
      <w:r>
        <w:rPr>
          <w:rStyle w:val="default"/>
          <w:rFonts w:cs="FrankRuehl"/>
          <w:rtl/>
        </w:rPr>
        <w:t xml:space="preserve"> </w:t>
      </w:r>
      <w:r>
        <w:rPr>
          <w:rStyle w:val="default"/>
          <w:rFonts w:cs="FrankRuehl" w:hint="cs"/>
          <w:rtl/>
        </w:rPr>
        <w:t>במער</w:t>
      </w:r>
      <w:r>
        <w:rPr>
          <w:rStyle w:val="default"/>
          <w:rFonts w:cs="FrankRuehl"/>
          <w:rtl/>
        </w:rPr>
        <w:t>כ</w:t>
      </w:r>
      <w:r>
        <w:rPr>
          <w:rStyle w:val="default"/>
          <w:rFonts w:cs="FrankRuehl" w:hint="cs"/>
          <w:rtl/>
        </w:rPr>
        <w:t>ת סינון למוצקים בקוטר העולה על סנטימטר אחד.</w:t>
      </w:r>
    </w:p>
    <w:p w:rsidR="00F621ED" w:rsidRDefault="00F621ED">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ב': הפעלת תחנת מעבר</w:t>
      </w:r>
    </w:p>
    <w:p w:rsidR="00F621ED" w:rsidRDefault="00F621ED">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11.5pt;z-index:251655680"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כ</w:t>
                  </w:r>
                  <w:r>
                    <w:rPr>
                      <w:rFonts w:cs="Miriam" w:hint="cs"/>
                      <w:szCs w:val="18"/>
                      <w:rtl/>
                    </w:rPr>
                    <w:t>ניסת פסולת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לתחנת מעבר לא תורשה כניסה של </w:t>
      </w:r>
      <w:r>
        <w:rPr>
          <w:rStyle w:val="default"/>
          <w:rFonts w:cs="FrankRuehl"/>
          <w:rtl/>
        </w:rPr>
        <w:t>–</w:t>
      </w:r>
    </w:p>
    <w:p w:rsidR="00F621ED" w:rsidRDefault="00FA3DFA">
      <w:pPr>
        <w:pStyle w:val="P22"/>
        <w:spacing w:before="72"/>
        <w:ind w:left="1021"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39" type="#_x0000_t202" style="position:absolute;left:0;text-align:left;margin-left:470.35pt;margin-top:7.1pt;width:1in;height:8.45pt;z-index:251662848" filled="f" stroked="f">
            <v:textbox inset="1mm,0,1mm,0">
              <w:txbxContent>
                <w:p w:rsidR="00FA3DFA" w:rsidRDefault="00FA3DFA" w:rsidP="00FA3DFA">
                  <w:pPr>
                    <w:spacing w:line="160" w:lineRule="exact"/>
                    <w:jc w:val="left"/>
                    <w:rPr>
                      <w:rFonts w:cs="Miriam"/>
                      <w:noProof/>
                      <w:szCs w:val="18"/>
                      <w:rtl/>
                    </w:rPr>
                  </w:pPr>
                  <w:r>
                    <w:rPr>
                      <w:rFonts w:cs="Miriam"/>
                      <w:szCs w:val="18"/>
                      <w:rtl/>
                    </w:rPr>
                    <w:t>כ</w:t>
                  </w:r>
                  <w:r>
                    <w:rPr>
                      <w:rFonts w:cs="Miriam" w:hint="cs"/>
                      <w:szCs w:val="18"/>
                      <w:rtl/>
                    </w:rPr>
                    <w:t>ניסת פסולת</w:t>
                  </w:r>
                </w:p>
              </w:txbxContent>
            </v:textbox>
            <w10:anchorlock/>
          </v:shape>
        </w:pict>
      </w:r>
      <w:r w:rsidR="00F621ED">
        <w:rPr>
          <w:rStyle w:val="default"/>
          <w:rFonts w:cs="FrankRuehl"/>
          <w:rtl/>
        </w:rPr>
        <w:t>(1)</w:t>
      </w:r>
      <w:r w:rsidR="00F621ED">
        <w:rPr>
          <w:rStyle w:val="default"/>
          <w:rFonts w:cs="FrankRuehl"/>
          <w:rtl/>
        </w:rPr>
        <w:tab/>
      </w:r>
      <w:r w:rsidR="00F621ED">
        <w:rPr>
          <w:rStyle w:val="default"/>
          <w:rFonts w:cs="FrankRuehl" w:hint="cs"/>
          <w:rtl/>
        </w:rPr>
        <w:t>חומרים מסוכנים או פסולת חומרים מסוכנים, לרבות אריזות המכילות שאריות של חומרים מסוכנים</w:t>
      </w:r>
      <w:r>
        <w:rPr>
          <w:rStyle w:val="default"/>
          <w:rFonts w:cs="FrankRuehl" w:hint="cs"/>
          <w:rtl/>
        </w:rPr>
        <w:t xml:space="preserve"> </w:t>
      </w:r>
      <w:r w:rsidRPr="00FA3DFA">
        <w:rPr>
          <w:rStyle w:val="default"/>
          <w:rFonts w:cs="FrankRuehl" w:hint="cs"/>
          <w:rtl/>
        </w:rPr>
        <w:t>ואולם מפעיל תחנת מעבר רשאי להכניס אסבסט צמנט לתחנת המעבר, ובלבד שיש בידו רישיון מפעיל אתר פסולת אסבסט לפי חוק למניעת מפגעי אסבסט ואבק מזיק, התשע"א-2011, והוא מקיים את הוראות החוק האמור ואת תנאי הרישיון</w:t>
      </w:r>
      <w:r w:rsidR="00F621ED">
        <w:rPr>
          <w:rStyle w:val="default"/>
          <w:rFonts w:cs="FrankRuehl" w:hint="cs"/>
          <w:rtl/>
        </w:rPr>
        <w:t>;</w:t>
      </w:r>
    </w:p>
    <w:p w:rsidR="00F621ED" w:rsidRDefault="00F621E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רכב המובילים פסולת, שהפסולת שבהם אי</w:t>
      </w:r>
      <w:r>
        <w:rPr>
          <w:rStyle w:val="default"/>
          <w:rFonts w:cs="FrankRuehl"/>
          <w:rtl/>
        </w:rPr>
        <w:t>נ</w:t>
      </w:r>
      <w:r>
        <w:rPr>
          <w:rStyle w:val="default"/>
          <w:rFonts w:cs="FrankRuehl" w:hint="cs"/>
          <w:rtl/>
        </w:rPr>
        <w:t>ה מכוסה כראוי, או שלא ננקטו אמצעים למניעת פיזור פסולת ונזילת תשטיפים בשטח התחנה.</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לתחנת מעבר לפסולת בנין לא תורשה כניסה של פסולת.</w:t>
      </w:r>
    </w:p>
    <w:p w:rsidR="00F621ED" w:rsidRDefault="00F621E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תחנת מעבר או מי שהוא הרשה לכך, ינהל רישום של כל רכב מוביל פסולת הנכנס לתחנת המעבר, מספר לוחית הזיהוי, שם הנהג,</w:t>
      </w:r>
      <w:r>
        <w:rPr>
          <w:rStyle w:val="default"/>
          <w:rFonts w:cs="FrankRuehl"/>
          <w:rtl/>
        </w:rPr>
        <w:t xml:space="preserve"> </w:t>
      </w:r>
      <w:r>
        <w:rPr>
          <w:rStyle w:val="default"/>
          <w:rFonts w:cs="FrankRuehl" w:hint="cs"/>
          <w:rtl/>
        </w:rPr>
        <w:t xml:space="preserve">כמות הפסולת המובלת בו </w:t>
      </w:r>
      <w:r w:rsidR="00FA3DFA">
        <w:rPr>
          <w:rStyle w:val="default"/>
          <w:rFonts w:cs="FrankRuehl"/>
          <w:rtl/>
        </w:rPr>
        <w:t>–</w:t>
      </w:r>
      <w:r>
        <w:rPr>
          <w:rStyle w:val="default"/>
          <w:rFonts w:cs="FrankRuehl" w:hint="cs"/>
          <w:rtl/>
        </w:rPr>
        <w:t xml:space="preserve"> לפי משקלה או לפי נפח המכולה, ומקורה - על פי הרשום בתעודת המשלוח או מפי נהג הרכב.</w:t>
      </w:r>
    </w:p>
    <w:p w:rsidR="00FA3DFA" w:rsidRPr="00FA3DFA" w:rsidRDefault="00FA3DFA" w:rsidP="00FA3DFA">
      <w:pPr>
        <w:pStyle w:val="P00"/>
        <w:spacing w:before="0"/>
        <w:ind w:left="0" w:right="1134"/>
        <w:rPr>
          <w:rStyle w:val="default"/>
          <w:rFonts w:cs="FrankRuehl" w:hint="cs"/>
          <w:vanish/>
          <w:color w:val="FF0000"/>
          <w:szCs w:val="20"/>
          <w:shd w:val="clear" w:color="auto" w:fill="FFFF99"/>
          <w:rtl/>
        </w:rPr>
      </w:pPr>
      <w:bookmarkStart w:id="6" w:name="Rov15"/>
      <w:r w:rsidRPr="00FA3DFA">
        <w:rPr>
          <w:rStyle w:val="default"/>
          <w:rFonts w:cs="FrankRuehl" w:hint="cs"/>
          <w:vanish/>
          <w:color w:val="FF0000"/>
          <w:szCs w:val="20"/>
          <w:shd w:val="clear" w:color="auto" w:fill="FFFF99"/>
          <w:rtl/>
        </w:rPr>
        <w:t>מיום 2.6.2016</w:t>
      </w:r>
    </w:p>
    <w:p w:rsidR="00FA3DFA" w:rsidRPr="00FA3DFA" w:rsidRDefault="00FA3DFA" w:rsidP="00FA3DFA">
      <w:pPr>
        <w:pStyle w:val="P00"/>
        <w:spacing w:before="0"/>
        <w:ind w:left="0" w:right="1134"/>
        <w:rPr>
          <w:rStyle w:val="default"/>
          <w:rFonts w:cs="FrankRuehl" w:hint="cs"/>
          <w:vanish/>
          <w:szCs w:val="20"/>
          <w:shd w:val="clear" w:color="auto" w:fill="FFFF99"/>
          <w:rtl/>
        </w:rPr>
      </w:pPr>
      <w:r w:rsidRPr="00FA3DFA">
        <w:rPr>
          <w:rStyle w:val="default"/>
          <w:rFonts w:cs="FrankRuehl" w:hint="cs"/>
          <w:b/>
          <w:bCs/>
          <w:vanish/>
          <w:szCs w:val="20"/>
          <w:shd w:val="clear" w:color="auto" w:fill="FFFF99"/>
          <w:rtl/>
        </w:rPr>
        <w:t>תק' תשע"ו-2016</w:t>
      </w:r>
    </w:p>
    <w:p w:rsidR="00FA3DFA" w:rsidRPr="00FA3DFA" w:rsidRDefault="00FA3DFA" w:rsidP="00FA3DFA">
      <w:pPr>
        <w:pStyle w:val="P00"/>
        <w:spacing w:before="0"/>
        <w:ind w:left="0" w:right="1134"/>
        <w:rPr>
          <w:rStyle w:val="default"/>
          <w:rFonts w:cs="FrankRuehl" w:hint="cs"/>
          <w:vanish/>
          <w:szCs w:val="20"/>
          <w:shd w:val="clear" w:color="auto" w:fill="FFFF99"/>
          <w:rtl/>
        </w:rPr>
      </w:pPr>
      <w:hyperlink r:id="rId6" w:history="1">
        <w:r w:rsidRPr="00FA3DFA">
          <w:rPr>
            <w:rStyle w:val="Hyperlink"/>
            <w:rFonts w:hint="cs"/>
            <w:vanish/>
            <w:szCs w:val="20"/>
            <w:shd w:val="clear" w:color="auto" w:fill="FFFF99"/>
            <w:rtl/>
          </w:rPr>
          <w:t>ק"ת תשע"ו מס' 7666</w:t>
        </w:r>
      </w:hyperlink>
      <w:r w:rsidRPr="00FA3DFA">
        <w:rPr>
          <w:rStyle w:val="default"/>
          <w:rFonts w:cs="FrankRuehl" w:hint="cs"/>
          <w:vanish/>
          <w:szCs w:val="20"/>
          <w:shd w:val="clear" w:color="auto" w:fill="FFFF99"/>
          <w:rtl/>
        </w:rPr>
        <w:t xml:space="preserve"> מיום 2.6.2016 עמ' 1189</w:t>
      </w:r>
    </w:p>
    <w:p w:rsidR="00FA3DFA" w:rsidRPr="00FA3DFA" w:rsidRDefault="00FA3DFA" w:rsidP="00FA3DFA">
      <w:pPr>
        <w:pStyle w:val="P00"/>
        <w:ind w:left="0" w:right="1134"/>
        <w:rPr>
          <w:rStyle w:val="default"/>
          <w:rFonts w:cs="FrankRuehl" w:hint="cs"/>
          <w:vanish/>
          <w:sz w:val="22"/>
          <w:szCs w:val="22"/>
          <w:shd w:val="clear" w:color="auto" w:fill="FFFF99"/>
          <w:rtl/>
        </w:rPr>
      </w:pPr>
      <w:r w:rsidRPr="00FA3DFA">
        <w:rPr>
          <w:rStyle w:val="default"/>
          <w:rFonts w:cs="FrankRuehl"/>
          <w:vanish/>
          <w:sz w:val="22"/>
          <w:szCs w:val="22"/>
          <w:shd w:val="clear" w:color="auto" w:fill="FFFF99"/>
          <w:rtl/>
        </w:rPr>
        <w:tab/>
        <w:t>(</w:t>
      </w:r>
      <w:r w:rsidRPr="00FA3DFA">
        <w:rPr>
          <w:rStyle w:val="default"/>
          <w:rFonts w:cs="FrankRuehl" w:hint="cs"/>
          <w:vanish/>
          <w:sz w:val="22"/>
          <w:szCs w:val="22"/>
          <w:shd w:val="clear" w:color="auto" w:fill="FFFF99"/>
          <w:rtl/>
        </w:rPr>
        <w:t>א)</w:t>
      </w:r>
      <w:r w:rsidRPr="00FA3DFA">
        <w:rPr>
          <w:rStyle w:val="default"/>
          <w:rFonts w:cs="FrankRuehl"/>
          <w:vanish/>
          <w:sz w:val="22"/>
          <w:szCs w:val="22"/>
          <w:shd w:val="clear" w:color="auto" w:fill="FFFF99"/>
          <w:rtl/>
        </w:rPr>
        <w:tab/>
      </w:r>
      <w:r w:rsidRPr="00FA3DFA">
        <w:rPr>
          <w:rStyle w:val="default"/>
          <w:rFonts w:cs="FrankRuehl" w:hint="cs"/>
          <w:vanish/>
          <w:sz w:val="22"/>
          <w:szCs w:val="22"/>
          <w:shd w:val="clear" w:color="auto" w:fill="FFFF99"/>
          <w:rtl/>
        </w:rPr>
        <w:t xml:space="preserve">לתחנת מעבר לא תורשה כניסה של </w:t>
      </w:r>
      <w:r w:rsidRPr="00FA3DFA">
        <w:rPr>
          <w:rStyle w:val="default"/>
          <w:rFonts w:cs="FrankRuehl"/>
          <w:vanish/>
          <w:sz w:val="22"/>
          <w:szCs w:val="22"/>
          <w:shd w:val="clear" w:color="auto" w:fill="FFFF99"/>
          <w:rtl/>
        </w:rPr>
        <w:t>–</w:t>
      </w:r>
    </w:p>
    <w:p w:rsidR="00FA3DFA" w:rsidRPr="00FA3DFA" w:rsidRDefault="00FA3DFA" w:rsidP="00FA3DFA">
      <w:pPr>
        <w:pStyle w:val="P22"/>
        <w:spacing w:before="0"/>
        <w:ind w:left="1021" w:right="1134"/>
        <w:rPr>
          <w:rStyle w:val="default"/>
          <w:rFonts w:cs="FrankRuehl"/>
          <w:sz w:val="2"/>
          <w:szCs w:val="2"/>
          <w:rtl/>
        </w:rPr>
      </w:pPr>
      <w:r w:rsidRPr="00FA3DFA">
        <w:rPr>
          <w:rStyle w:val="default"/>
          <w:rFonts w:cs="FrankRuehl"/>
          <w:vanish/>
          <w:sz w:val="22"/>
          <w:szCs w:val="22"/>
          <w:shd w:val="clear" w:color="auto" w:fill="FFFF99"/>
          <w:rtl/>
        </w:rPr>
        <w:t>(1)</w:t>
      </w:r>
      <w:r w:rsidRPr="00FA3DFA">
        <w:rPr>
          <w:rStyle w:val="default"/>
          <w:rFonts w:cs="FrankRuehl"/>
          <w:vanish/>
          <w:sz w:val="22"/>
          <w:szCs w:val="22"/>
          <w:shd w:val="clear" w:color="auto" w:fill="FFFF99"/>
          <w:rtl/>
        </w:rPr>
        <w:tab/>
      </w:r>
      <w:r w:rsidRPr="00FA3DFA">
        <w:rPr>
          <w:rStyle w:val="default"/>
          <w:rFonts w:cs="FrankRuehl" w:hint="cs"/>
          <w:vanish/>
          <w:sz w:val="22"/>
          <w:szCs w:val="22"/>
          <w:shd w:val="clear" w:color="auto" w:fill="FFFF99"/>
          <w:rtl/>
        </w:rPr>
        <w:t xml:space="preserve">חומרים מסוכנים או פסולת חומרים מסוכנים, לרבות אריזות המכילות שאריות של חומרים מסוכנים </w:t>
      </w:r>
      <w:r w:rsidRPr="00FA3DFA">
        <w:rPr>
          <w:rStyle w:val="default"/>
          <w:rFonts w:cs="FrankRuehl" w:hint="cs"/>
          <w:vanish/>
          <w:sz w:val="22"/>
          <w:szCs w:val="22"/>
          <w:u w:val="single"/>
          <w:shd w:val="clear" w:color="auto" w:fill="FFFF99"/>
          <w:rtl/>
        </w:rPr>
        <w:t>ואולם מפעיל תחנת מעבר רשאי להכניס אסבסט צמנט לתחנת המעבר, ובלבד שיש בידו רישיון מפעיל אתר פסולת אסבסט לפי חוק למניעת מפגעי אסבסט ואבק מזיק, התשע"א-2011, והוא מקיים את הוראות החוק האמור ואת תנאי הרישיון</w:t>
      </w:r>
      <w:r w:rsidRPr="00FA3DFA">
        <w:rPr>
          <w:rStyle w:val="default"/>
          <w:rFonts w:cs="FrankRuehl" w:hint="cs"/>
          <w:vanish/>
          <w:sz w:val="22"/>
          <w:szCs w:val="22"/>
          <w:shd w:val="clear" w:color="auto" w:fill="FFFF99"/>
          <w:rtl/>
        </w:rPr>
        <w:t>;</w:t>
      </w:r>
      <w:bookmarkEnd w:id="6"/>
    </w:p>
    <w:p w:rsidR="00F621ED" w:rsidRDefault="00F621ED">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14.9pt;z-index:251656704"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ט</w:t>
                  </w:r>
                  <w:r>
                    <w:rPr>
                      <w:rFonts w:cs="Miriam" w:hint="cs"/>
                      <w:szCs w:val="18"/>
                      <w:rtl/>
                    </w:rPr>
                    <w:t>יפו</w:t>
                  </w:r>
                  <w:r>
                    <w:rPr>
                      <w:rFonts w:cs="Miriam"/>
                      <w:szCs w:val="18"/>
                      <w:rtl/>
                    </w:rPr>
                    <w:t>ל</w:t>
                  </w:r>
                  <w:r>
                    <w:rPr>
                      <w:rFonts w:cs="Miriam" w:hint="cs"/>
                      <w:szCs w:val="18"/>
                      <w:rtl/>
                    </w:rPr>
                    <w:t xml:space="preserve"> בפסולת</w:t>
                  </w:r>
                </w:p>
              </w:txbxContent>
            </v:textbox>
            <w10:anchorlock/>
          </v:rect>
        </w:pict>
      </w:r>
      <w:r>
        <w:rPr>
          <w:rStyle w:val="big-number"/>
          <w:rtl/>
        </w:rPr>
        <w:t>5.</w:t>
      </w:r>
      <w:r>
        <w:rPr>
          <w:rStyle w:val="big-number"/>
          <w:rtl/>
        </w:rPr>
        <w:tab/>
      </w:r>
      <w:r>
        <w:rPr>
          <w:rStyle w:val="default"/>
          <w:rFonts w:cs="FrankRuehl"/>
          <w:rtl/>
        </w:rPr>
        <w:t>ט</w:t>
      </w:r>
      <w:r>
        <w:rPr>
          <w:rStyle w:val="default"/>
          <w:rFonts w:cs="FrankRuehl" w:hint="cs"/>
          <w:rtl/>
        </w:rPr>
        <w:t>יפול בפסולת בתחנת מעבר ייעשה כמפורט להלן:</w:t>
      </w:r>
    </w:p>
    <w:p w:rsidR="00F621ED" w:rsidRDefault="00F621E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פסולת תסולק רק לאתר לסילוק פסולת או לאתר לטיפול בפסולת, ובלבד שלא תסולק לאתר המשמש ל</w:t>
      </w:r>
      <w:r>
        <w:rPr>
          <w:rStyle w:val="default"/>
          <w:rFonts w:cs="FrankRuehl"/>
          <w:rtl/>
        </w:rPr>
        <w:t>ס</w:t>
      </w:r>
      <w:r>
        <w:rPr>
          <w:rStyle w:val="default"/>
          <w:rFonts w:cs="FrankRuehl" w:hint="cs"/>
          <w:rtl/>
        </w:rPr>
        <w:t>ילוק פסולת בנין בלבד;</w:t>
      </w:r>
    </w:p>
    <w:p w:rsidR="00F621ED" w:rsidRDefault="00F621E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בסוף כל יום עבודה תסולק כל הפסולת משטח התחנה, כאמור בפסקה (1); בתחנת מעבר העובדת בלא הפסקה לא תושאר פסולת יותר מ-24 שעות, אלא אם כן מוינה למרכיבים שנועדו למחזור או לשימוש חוזר;</w:t>
      </w:r>
    </w:p>
    <w:p w:rsidR="00F621ED" w:rsidRDefault="00F621E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מפעיל יכין נוהל טי</w:t>
      </w:r>
      <w:r>
        <w:rPr>
          <w:rStyle w:val="default"/>
          <w:rFonts w:cs="FrankRuehl"/>
          <w:rtl/>
        </w:rPr>
        <w:t>פ</w:t>
      </w:r>
      <w:r>
        <w:rPr>
          <w:rStyle w:val="default"/>
          <w:rFonts w:cs="FrankRuehl" w:hint="cs"/>
          <w:rtl/>
        </w:rPr>
        <w:t>ול בחומרים מסוכנים (להלן - הנוהל), שיקבל את אישורו של נותן האישור כמשמעותו בסעיף 6 לחוק; חומרים מסוכנים או פסולת חומרים מסוכנים שהתגלו בשטח התחנה על אף האמור בתקנה 4(א)(1), יטופלו כאמור בנוהל.</w:t>
      </w:r>
    </w:p>
    <w:p w:rsidR="00F621ED" w:rsidRDefault="00F621ED">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11.2pt;z-index:251657728"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ה</w:t>
                  </w:r>
                  <w:r>
                    <w:rPr>
                      <w:rFonts w:cs="Miriam" w:hint="cs"/>
                      <w:szCs w:val="18"/>
                      <w:rtl/>
                    </w:rPr>
                    <w:t>פעלה</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 xml:space="preserve">פעיל תחנת מעבר </w:t>
      </w:r>
      <w:r>
        <w:rPr>
          <w:rStyle w:val="default"/>
          <w:rFonts w:cs="FrankRuehl"/>
          <w:rtl/>
        </w:rPr>
        <w:t>–</w:t>
      </w:r>
    </w:p>
    <w:p w:rsidR="00F621ED" w:rsidRDefault="00F621E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ידאג לניקוי שטח התחנה מלכלוך</w:t>
      </w:r>
      <w:r>
        <w:rPr>
          <w:rStyle w:val="default"/>
          <w:rFonts w:cs="FrankRuehl"/>
          <w:rtl/>
        </w:rPr>
        <w:t xml:space="preserve"> </w:t>
      </w:r>
      <w:r>
        <w:rPr>
          <w:rStyle w:val="default"/>
          <w:rFonts w:cs="FrankRuehl" w:hint="cs"/>
          <w:rtl/>
        </w:rPr>
        <w:t>ומשאריות פסולת אחת ליום לפחות, בסוף יום העבודה;</w:t>
      </w:r>
    </w:p>
    <w:p w:rsidR="00F621ED" w:rsidRDefault="00F621E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ידאג לסילוק תשטיפים שנוקזו משטח התחנה למערכת הביוב של הרשות המקומית לאחר שטופלו במיתקן לטיפול בתשטיפים, כמפורט להלן:</w:t>
      </w:r>
    </w:p>
    <w:p w:rsidR="00F621ED" w:rsidRDefault="00F621E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הוצאו מהם חלקיקים בקוטר העולה על </w:t>
      </w:r>
      <w:smartTag w:uri="urn:schemas-microsoft-com:office:smarttags" w:element="metricconverter">
        <w:smartTagPr>
          <w:attr w:name="ProductID" w:val="1 סנטימטר"/>
        </w:smartTagPr>
        <w:r>
          <w:rPr>
            <w:rStyle w:val="default"/>
            <w:rFonts w:cs="FrankRuehl" w:hint="cs"/>
            <w:rtl/>
          </w:rPr>
          <w:t>1 סנטימטר</w:t>
        </w:r>
      </w:smartTag>
      <w:r>
        <w:rPr>
          <w:rStyle w:val="default"/>
          <w:rFonts w:cs="FrankRuehl" w:hint="cs"/>
          <w:rtl/>
        </w:rPr>
        <w:t>;</w:t>
      </w:r>
    </w:p>
    <w:p w:rsidR="00F621ED" w:rsidRDefault="00F621E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ערכי ההגבה (</w:t>
      </w:r>
      <w:r>
        <w:rPr>
          <w:rStyle w:val="default"/>
          <w:rFonts w:cs="FrankRuehl"/>
        </w:rPr>
        <w:t>pH</w:t>
      </w:r>
      <w:r>
        <w:rPr>
          <w:rStyle w:val="default"/>
          <w:rFonts w:cs="FrankRuehl"/>
          <w:rtl/>
        </w:rPr>
        <w:t xml:space="preserve">) </w:t>
      </w:r>
      <w:r>
        <w:rPr>
          <w:rStyle w:val="default"/>
          <w:rFonts w:cs="FrankRuehl" w:hint="cs"/>
          <w:rtl/>
        </w:rPr>
        <w:t>שלהם אינם חורגים מ</w:t>
      </w:r>
      <w:r>
        <w:rPr>
          <w:rStyle w:val="default"/>
          <w:rFonts w:cs="FrankRuehl"/>
          <w:rtl/>
        </w:rPr>
        <w:t>-</w:t>
      </w:r>
      <w:r>
        <w:rPr>
          <w:rStyle w:val="default"/>
          <w:rFonts w:cs="FrankRuehl"/>
        </w:rPr>
        <w:t>pH</w:t>
      </w:r>
      <w:r>
        <w:rPr>
          <w:rStyle w:val="default"/>
          <w:rFonts w:cs="FrankRuehl"/>
          <w:rtl/>
        </w:rPr>
        <w:t xml:space="preserve"> 6.0</w:t>
      </w:r>
      <w:r>
        <w:rPr>
          <w:rStyle w:val="default"/>
          <w:rFonts w:cs="FrankRuehl" w:hint="cs"/>
          <w:rtl/>
        </w:rPr>
        <w:t>-9.0;</w:t>
      </w:r>
    </w:p>
    <w:p w:rsidR="00F621ED" w:rsidRDefault="00F621E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ינקוט אמצעים למניעת הימצאות בעלי חיים ומזיקים, לרבות מכרסמים וחרקים, בשטח התחנה;</w:t>
      </w:r>
    </w:p>
    <w:p w:rsidR="00F621ED" w:rsidRDefault="00F621ED">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ימנע כניסת אנשים לתחנת המעבר ללא הרשאה ופיקוח מטעמו;</w:t>
      </w:r>
    </w:p>
    <w:p w:rsidR="00F621ED" w:rsidRDefault="00F621E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יהיה הוא או מי מטעמו נוכח בתחנת המעבר במשך כל שעות הפעלתה, לשם הבטחת קיומן של דרישות פרק זה.</w:t>
      </w:r>
    </w:p>
    <w:p w:rsidR="00F621ED" w:rsidRDefault="00F621ED">
      <w:pPr>
        <w:pStyle w:val="medium2-header"/>
        <w:keepLines w:val="0"/>
        <w:spacing w:before="72"/>
        <w:ind w:left="0" w:right="1134"/>
        <w:rPr>
          <w:noProof/>
          <w:sz w:val="20"/>
          <w:rtl/>
        </w:rPr>
      </w:pPr>
      <w:bookmarkStart w:id="9" w:name="med2"/>
      <w:bookmarkEnd w:id="9"/>
      <w:r>
        <w:rPr>
          <w:noProof/>
          <w:sz w:val="20"/>
          <w:rtl/>
        </w:rPr>
        <w:t>פ</w:t>
      </w:r>
      <w:r>
        <w:rPr>
          <w:rFonts w:hint="cs"/>
          <w:noProof/>
          <w:sz w:val="20"/>
          <w:rtl/>
        </w:rPr>
        <w:t>רק</w:t>
      </w:r>
      <w:r>
        <w:rPr>
          <w:noProof/>
          <w:sz w:val="20"/>
          <w:rtl/>
        </w:rPr>
        <w:t xml:space="preserve"> </w:t>
      </w:r>
      <w:r>
        <w:rPr>
          <w:rFonts w:hint="cs"/>
          <w:noProof/>
          <w:sz w:val="20"/>
          <w:rtl/>
        </w:rPr>
        <w:t>ג': הוראות שונות</w:t>
      </w:r>
    </w:p>
    <w:p w:rsidR="00F621ED" w:rsidRDefault="00F621ED">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11.45pt;z-index:251658752"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2(3), (5) ו-(6), 3, 5(2) ו-6(2) לא יחולו על תחנת מעבר לטיפול בפסולת בנין.</w:t>
      </w:r>
    </w:p>
    <w:p w:rsidR="00F621ED" w:rsidRDefault="00F621E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אלה לא יחולו על פסולת חומר מסוכן, שחלות עליה</w:t>
      </w:r>
      <w:r>
        <w:rPr>
          <w:rStyle w:val="default"/>
          <w:rFonts w:cs="FrankRuehl"/>
          <w:rtl/>
        </w:rPr>
        <w:t xml:space="preserve"> </w:t>
      </w:r>
      <w:r>
        <w:rPr>
          <w:rStyle w:val="default"/>
          <w:rFonts w:cs="FrankRuehl" w:hint="cs"/>
          <w:rtl/>
        </w:rPr>
        <w:t>תקנות סילוק פסולת חומרים מסוכנים.</w:t>
      </w:r>
    </w:p>
    <w:p w:rsidR="00F621ED" w:rsidRDefault="00F621ED">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7.95pt;z-index:251659776"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מ</w:t>
                  </w:r>
                  <w:r>
                    <w:rPr>
                      <w:rFonts w:cs="Miriam" w:hint="cs"/>
                      <w:szCs w:val="18"/>
                      <w:rtl/>
                    </w:rPr>
                    <w:t>ניעת מפגעים</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 xml:space="preserve">ילוי הוראות תקנות אלה לא </w:t>
      </w:r>
      <w:r>
        <w:rPr>
          <w:rStyle w:val="default"/>
          <w:rFonts w:cs="FrankRuehl"/>
          <w:rtl/>
        </w:rPr>
        <w:t>י</w:t>
      </w:r>
      <w:r>
        <w:rPr>
          <w:rStyle w:val="default"/>
          <w:rFonts w:cs="FrankRuehl" w:hint="cs"/>
          <w:rtl/>
        </w:rPr>
        <w:t>פטור מפעיל מחובתו למנוע מפגעי רעש, ריח וזיהום אוויר.</w:t>
      </w:r>
    </w:p>
    <w:p w:rsidR="00F621ED" w:rsidRDefault="00F621ED">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14.8pt;z-index:251660800"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ש</w:t>
                  </w:r>
                  <w:r>
                    <w:rPr>
                      <w:rFonts w:cs="Miriam" w:hint="cs"/>
                      <w:szCs w:val="18"/>
                      <w:rtl/>
                    </w:rPr>
                    <w:t>מי</w:t>
                  </w:r>
                  <w:r>
                    <w:rPr>
                      <w:rFonts w:cs="Miriam"/>
                      <w:szCs w:val="18"/>
                      <w:rtl/>
                    </w:rPr>
                    <w:t>ר</w:t>
                  </w:r>
                  <w:r>
                    <w:rPr>
                      <w:rFonts w:cs="Miriam" w:hint="cs"/>
                      <w:szCs w:val="18"/>
                      <w:rtl/>
                    </w:rPr>
                    <w:t>ת דינים</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אלה באות להוסיף על הוראות כל דין אחר בדבר סילוק פסולת, ולא לגרוע מהן.</w:t>
      </w:r>
    </w:p>
    <w:p w:rsidR="00F621ED" w:rsidRDefault="00F621ED">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1.7pt;z-index:251661824" o:allowincell="f" filled="f" stroked="f" strokecolor="lime" strokeweight=".25pt">
            <v:textbox inset="0,0,0,0">
              <w:txbxContent>
                <w:p w:rsidR="00F621ED" w:rsidRDefault="00F621E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תקנות אלה, שנה מיום פרסומן.</w:t>
      </w:r>
    </w:p>
    <w:p w:rsidR="00F621ED" w:rsidRDefault="00F621ED">
      <w:pPr>
        <w:pStyle w:val="P00"/>
        <w:spacing w:before="72"/>
        <w:ind w:left="0" w:right="1134"/>
        <w:rPr>
          <w:rStyle w:val="default"/>
          <w:rFonts w:cs="FrankRuehl"/>
          <w:rtl/>
        </w:rPr>
      </w:pPr>
    </w:p>
    <w:p w:rsidR="00F621ED" w:rsidRDefault="00F621ED">
      <w:pPr>
        <w:pStyle w:val="page"/>
        <w:widowControl/>
        <w:ind w:right="1134"/>
        <w:jc w:val="center"/>
        <w:rPr>
          <w:rFonts w:cs="FrankRuehl"/>
          <w:b/>
          <w:bCs/>
          <w:position w:val="0"/>
          <w:szCs w:val="26"/>
          <w:rtl/>
        </w:rPr>
      </w:pPr>
      <w:r>
        <w:rPr>
          <w:rFonts w:cs="FrankRuehl"/>
          <w:b/>
          <w:bCs/>
          <w:position w:val="0"/>
          <w:szCs w:val="26"/>
          <w:rtl/>
        </w:rPr>
        <w:t>ת</w:t>
      </w:r>
      <w:r>
        <w:rPr>
          <w:rFonts w:cs="FrankRuehl" w:hint="cs"/>
          <w:b/>
          <w:bCs/>
          <w:position w:val="0"/>
          <w:szCs w:val="26"/>
          <w:rtl/>
        </w:rPr>
        <w:t>וספת</w:t>
      </w:r>
    </w:p>
    <w:p w:rsidR="00F621ED" w:rsidRDefault="00F621ED">
      <w:pPr>
        <w:pStyle w:val="medium-header"/>
        <w:keepNext w:val="0"/>
        <w:keepLines w:val="0"/>
        <w:ind w:left="0" w:right="1134"/>
        <w:rPr>
          <w:sz w:val="24"/>
          <w:szCs w:val="24"/>
          <w:rtl/>
        </w:rPr>
      </w:pPr>
      <w:r>
        <w:rPr>
          <w:sz w:val="24"/>
          <w:szCs w:val="24"/>
          <w:rtl/>
        </w:rPr>
        <w:t>(</w:t>
      </w:r>
      <w:r>
        <w:rPr>
          <w:rFonts w:hint="cs"/>
          <w:sz w:val="24"/>
          <w:szCs w:val="24"/>
          <w:rtl/>
        </w:rPr>
        <w:t>תקנה 2(6))</w:t>
      </w:r>
    </w:p>
    <w:p w:rsidR="00F621ED" w:rsidRDefault="00F621ED">
      <w:pPr>
        <w:pStyle w:val="medium-header"/>
        <w:keepNext w:val="0"/>
        <w:keepLines w:val="0"/>
        <w:tabs>
          <w:tab w:val="clear" w:pos="624"/>
          <w:tab w:val="clear" w:pos="1021"/>
          <w:tab w:val="clear" w:pos="1474"/>
          <w:tab w:val="clear" w:pos="1928"/>
          <w:tab w:val="clear" w:pos="2381"/>
          <w:tab w:val="clear" w:pos="2835"/>
          <w:tab w:val="left" w:pos="0"/>
          <w:tab w:val="left" w:pos="1418"/>
          <w:tab w:val="left" w:pos="3402"/>
          <w:tab w:val="left" w:pos="4536"/>
        </w:tabs>
        <w:ind w:left="0" w:right="2268"/>
        <w:jc w:val="both"/>
        <w:rPr>
          <w:szCs w:val="20"/>
          <w:rtl/>
        </w:rPr>
      </w:pPr>
      <w:r>
        <w:rPr>
          <w:rtl/>
        </w:rPr>
        <w:tab/>
      </w:r>
      <w:r>
        <w:rPr>
          <w:rtl/>
        </w:rPr>
        <w:tab/>
      </w:r>
      <w:r>
        <w:rPr>
          <w:rFonts w:hint="cs"/>
          <w:rtl/>
        </w:rPr>
        <w:t xml:space="preserve">      </w:t>
      </w:r>
      <w:r>
        <w:rPr>
          <w:rtl/>
        </w:rPr>
        <w:t xml:space="preserve">  </w:t>
      </w:r>
      <w:r>
        <w:rPr>
          <w:rtl/>
        </w:rPr>
        <w:t> </w:t>
      </w:r>
      <w:r>
        <w:rPr>
          <w:szCs w:val="20"/>
          <w:rtl/>
        </w:rPr>
        <w:t>ג</w:t>
      </w:r>
    </w:p>
    <w:p w:rsidR="00F621ED" w:rsidRDefault="00F621ED">
      <w:pPr>
        <w:pStyle w:val="medium-header"/>
        <w:keepNext w:val="0"/>
        <w:keepLines w:val="0"/>
        <w:tabs>
          <w:tab w:val="clear" w:pos="624"/>
          <w:tab w:val="clear" w:pos="1021"/>
          <w:tab w:val="clear" w:pos="1474"/>
          <w:tab w:val="clear" w:pos="1928"/>
          <w:tab w:val="clear" w:pos="2381"/>
          <w:tab w:val="clear" w:pos="2835"/>
          <w:tab w:val="left" w:pos="0"/>
          <w:tab w:val="left" w:pos="1418"/>
          <w:tab w:val="left" w:pos="3402"/>
          <w:tab w:val="left" w:pos="4536"/>
        </w:tabs>
        <w:ind w:left="0" w:right="2268"/>
        <w:jc w:val="both"/>
        <w:rPr>
          <w:szCs w:val="20"/>
          <w:rtl/>
        </w:rPr>
      </w:pPr>
      <w:r>
        <w:rPr>
          <w:szCs w:val="20"/>
          <w:rtl/>
        </w:rPr>
        <w:tab/>
      </w:r>
      <w:r>
        <w:rPr>
          <w:szCs w:val="20"/>
          <w:rtl/>
        </w:rPr>
        <w:tab/>
      </w:r>
      <w:r>
        <w:rPr>
          <w:rFonts w:hint="cs"/>
          <w:szCs w:val="20"/>
          <w:rtl/>
        </w:rPr>
        <w:t xml:space="preserve">   מרחק משימושי</w:t>
      </w:r>
      <w:r>
        <w:rPr>
          <w:szCs w:val="20"/>
          <w:rtl/>
        </w:rPr>
        <w:tab/>
      </w:r>
      <w:r>
        <w:rPr>
          <w:szCs w:val="20"/>
          <w:rtl/>
        </w:rPr>
        <w:tab/>
      </w:r>
      <w:r>
        <w:rPr>
          <w:szCs w:val="20"/>
          <w:rtl/>
        </w:rPr>
        <w:t> </w:t>
      </w:r>
      <w:r>
        <w:rPr>
          <w:szCs w:val="20"/>
          <w:rtl/>
        </w:rPr>
        <w:t>ד</w:t>
      </w:r>
    </w:p>
    <w:p w:rsidR="00F621ED" w:rsidRDefault="00F621ED">
      <w:pPr>
        <w:pStyle w:val="medium-header"/>
        <w:keepNext w:val="0"/>
        <w:keepLines w:val="0"/>
        <w:tabs>
          <w:tab w:val="clear" w:pos="624"/>
          <w:tab w:val="clear" w:pos="1021"/>
          <w:tab w:val="clear" w:pos="1474"/>
          <w:tab w:val="clear" w:pos="1928"/>
          <w:tab w:val="clear" w:pos="2381"/>
          <w:tab w:val="clear" w:pos="2835"/>
          <w:tab w:val="left" w:pos="0"/>
          <w:tab w:val="left" w:pos="1418"/>
          <w:tab w:val="left" w:pos="3402"/>
          <w:tab w:val="left" w:pos="4536"/>
        </w:tabs>
        <w:ind w:left="0" w:right="2268"/>
        <w:jc w:val="both"/>
        <w:rPr>
          <w:szCs w:val="20"/>
          <w:rtl/>
        </w:rPr>
      </w:pPr>
      <w:r>
        <w:rPr>
          <w:szCs w:val="20"/>
          <w:rtl/>
        </w:rPr>
        <w:t> </w:t>
      </w:r>
      <w:r>
        <w:rPr>
          <w:szCs w:val="20"/>
          <w:rtl/>
        </w:rPr>
        <w:t> </w:t>
      </w:r>
      <w:r>
        <w:rPr>
          <w:szCs w:val="20"/>
          <w:rtl/>
        </w:rPr>
        <w:t>א</w:t>
      </w:r>
      <w:r>
        <w:rPr>
          <w:szCs w:val="20"/>
          <w:rtl/>
        </w:rPr>
        <w:tab/>
      </w:r>
      <w:r>
        <w:rPr>
          <w:rFonts w:hint="cs"/>
          <w:szCs w:val="20"/>
          <w:rtl/>
        </w:rPr>
        <w:t xml:space="preserve">                     ב</w:t>
      </w:r>
      <w:r>
        <w:rPr>
          <w:szCs w:val="20"/>
          <w:rtl/>
        </w:rPr>
        <w:tab/>
      </w:r>
      <w:r>
        <w:rPr>
          <w:rFonts w:hint="cs"/>
          <w:szCs w:val="20"/>
          <w:rtl/>
        </w:rPr>
        <w:t xml:space="preserve">     קרקע רגישים</w:t>
      </w:r>
      <w:r>
        <w:rPr>
          <w:szCs w:val="20"/>
          <w:rtl/>
        </w:rPr>
        <w:tab/>
      </w:r>
      <w:r>
        <w:rPr>
          <w:rFonts w:hint="cs"/>
          <w:szCs w:val="20"/>
          <w:rtl/>
        </w:rPr>
        <w:t xml:space="preserve">         כמות פסולת</w:t>
      </w:r>
    </w:p>
    <w:p w:rsidR="00F621ED" w:rsidRDefault="00F621ED">
      <w:pPr>
        <w:pStyle w:val="medium-header"/>
        <w:keepNext w:val="0"/>
        <w:keepLines w:val="0"/>
        <w:pBdr>
          <w:bottom w:val="single" w:sz="4" w:space="1" w:color="auto"/>
        </w:pBdr>
        <w:tabs>
          <w:tab w:val="clear" w:pos="624"/>
          <w:tab w:val="clear" w:pos="1021"/>
          <w:tab w:val="clear" w:pos="1474"/>
          <w:tab w:val="clear" w:pos="1928"/>
          <w:tab w:val="clear" w:pos="2381"/>
          <w:tab w:val="clear" w:pos="2835"/>
          <w:tab w:val="left" w:pos="0"/>
          <w:tab w:val="left" w:pos="1418"/>
          <w:tab w:val="left" w:pos="3402"/>
          <w:tab w:val="left" w:pos="4536"/>
        </w:tabs>
        <w:ind w:left="0" w:right="2268"/>
        <w:jc w:val="both"/>
        <w:rPr>
          <w:szCs w:val="20"/>
          <w:rtl/>
        </w:rPr>
      </w:pPr>
      <w:r>
        <w:rPr>
          <w:szCs w:val="20"/>
          <w:rtl/>
        </w:rPr>
        <w:t>מ</w:t>
      </w:r>
      <w:r>
        <w:rPr>
          <w:rFonts w:hint="cs"/>
          <w:szCs w:val="20"/>
          <w:rtl/>
        </w:rPr>
        <w:t>יתקני תשתית</w:t>
      </w:r>
      <w:r>
        <w:rPr>
          <w:szCs w:val="20"/>
          <w:rtl/>
        </w:rPr>
        <w:tab/>
      </w:r>
      <w:r>
        <w:rPr>
          <w:rFonts w:hint="cs"/>
          <w:szCs w:val="20"/>
          <w:rtl/>
        </w:rPr>
        <w:t xml:space="preserve">    אופן הטיפול בפסולת</w:t>
      </w:r>
      <w:r>
        <w:rPr>
          <w:szCs w:val="20"/>
          <w:rtl/>
        </w:rPr>
        <w:tab/>
      </w:r>
      <w:r>
        <w:rPr>
          <w:rFonts w:hint="cs"/>
          <w:szCs w:val="20"/>
          <w:rtl/>
        </w:rPr>
        <w:t xml:space="preserve">        (במטרים)</w:t>
      </w:r>
      <w:r>
        <w:rPr>
          <w:szCs w:val="20"/>
          <w:rtl/>
        </w:rPr>
        <w:tab/>
      </w:r>
      <w:r>
        <w:rPr>
          <w:rFonts w:hint="cs"/>
          <w:szCs w:val="20"/>
          <w:rtl/>
        </w:rPr>
        <w:t xml:space="preserve">          יומית (בטון)</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w:t>
      </w:r>
      <w:r>
        <w:rPr>
          <w:szCs w:val="20"/>
          <w:rtl/>
        </w:rPr>
        <w:tab/>
      </w:r>
      <w:r>
        <w:rPr>
          <w:rFonts w:hint="cs"/>
          <w:szCs w:val="20"/>
          <w:rtl/>
        </w:rPr>
        <w:t>טיפול בכלי קיבול סגור</w:t>
      </w:r>
      <w:r>
        <w:rPr>
          <w:szCs w:val="20"/>
          <w:rtl/>
        </w:rPr>
        <w:t>י</w:t>
      </w:r>
      <w:r>
        <w:rPr>
          <w:rFonts w:hint="cs"/>
          <w:szCs w:val="20"/>
          <w:rtl/>
        </w:rPr>
        <w:t>ם</w:t>
      </w:r>
      <w:r>
        <w:rPr>
          <w:szCs w:val="20"/>
          <w:rtl/>
        </w:rPr>
        <w:tab/>
      </w:r>
      <w:r>
        <w:rPr>
          <w:rFonts w:hint="cs"/>
          <w:szCs w:val="20"/>
          <w:rtl/>
        </w:rPr>
        <w:t>עד 200</w:t>
      </w:r>
      <w:r>
        <w:rPr>
          <w:szCs w:val="20"/>
          <w:rtl/>
        </w:rPr>
        <w:tab/>
      </w:r>
      <w:r>
        <w:rPr>
          <w:rFonts w:hint="cs"/>
          <w:szCs w:val="20"/>
          <w:rtl/>
        </w:rPr>
        <w:t>כל כמות</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 ותת לחץ</w:t>
      </w:r>
      <w:r>
        <w:rPr>
          <w:szCs w:val="20"/>
          <w:rtl/>
        </w:rPr>
        <w:tab/>
      </w:r>
      <w:r>
        <w:rPr>
          <w:rFonts w:hint="cs"/>
          <w:szCs w:val="20"/>
          <w:rtl/>
        </w:rPr>
        <w:t>טיפול בכלי קיבול פתוחים</w:t>
      </w:r>
      <w:r>
        <w:rPr>
          <w:szCs w:val="20"/>
          <w:rtl/>
        </w:rPr>
        <w:tab/>
      </w:r>
      <w:r>
        <w:rPr>
          <w:rFonts w:hint="cs"/>
          <w:szCs w:val="20"/>
          <w:rtl/>
        </w:rPr>
        <w:t>עד 200</w:t>
      </w:r>
      <w:r>
        <w:rPr>
          <w:szCs w:val="20"/>
          <w:rtl/>
        </w:rPr>
        <w:tab/>
      </w:r>
      <w:r>
        <w:rPr>
          <w:rFonts w:hint="cs"/>
          <w:szCs w:val="20"/>
          <w:rtl/>
        </w:rPr>
        <w:t>גדולה מ-20</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w:t>
      </w:r>
      <w:r>
        <w:rPr>
          <w:szCs w:val="20"/>
          <w:rtl/>
        </w:rPr>
        <w:tab/>
      </w:r>
      <w:r>
        <w:rPr>
          <w:rFonts w:hint="cs"/>
          <w:szCs w:val="20"/>
          <w:rtl/>
        </w:rPr>
        <w:t>טיפול בכלי קיבול פתוחים</w:t>
      </w:r>
      <w:r>
        <w:rPr>
          <w:szCs w:val="20"/>
          <w:rtl/>
        </w:rPr>
        <w:tab/>
      </w:r>
      <w:r>
        <w:rPr>
          <w:rFonts w:hint="cs"/>
          <w:szCs w:val="20"/>
          <w:rtl/>
        </w:rPr>
        <w:t>מעל 200</w:t>
      </w:r>
      <w:r>
        <w:rPr>
          <w:szCs w:val="20"/>
          <w:rtl/>
        </w:rPr>
        <w:tab/>
      </w:r>
      <w:r>
        <w:rPr>
          <w:rFonts w:hint="cs"/>
          <w:szCs w:val="20"/>
          <w:rtl/>
        </w:rPr>
        <w:t xml:space="preserve">גדולה מ-20 </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ab/>
      </w:r>
      <w:r>
        <w:rPr>
          <w:szCs w:val="20"/>
          <w:rtl/>
        </w:rPr>
        <w:tab/>
      </w:r>
      <w:r>
        <w:rPr>
          <w:szCs w:val="20"/>
          <w:rtl/>
        </w:rPr>
        <w:tab/>
      </w:r>
      <w:r>
        <w:rPr>
          <w:szCs w:val="20"/>
          <w:rtl/>
        </w:rPr>
        <w:tab/>
      </w:r>
      <w:r>
        <w:rPr>
          <w:rFonts w:hint="cs"/>
          <w:szCs w:val="20"/>
          <w:rtl/>
        </w:rPr>
        <w:t>וקטנה מ-75</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 ותת לחץ</w:t>
      </w:r>
      <w:r>
        <w:rPr>
          <w:szCs w:val="20"/>
          <w:rtl/>
        </w:rPr>
        <w:tab/>
      </w:r>
      <w:r>
        <w:rPr>
          <w:rFonts w:hint="cs"/>
          <w:szCs w:val="20"/>
          <w:rtl/>
        </w:rPr>
        <w:t>טיפול בכלי קיבול פתוחים</w:t>
      </w:r>
      <w:r>
        <w:rPr>
          <w:szCs w:val="20"/>
          <w:rtl/>
        </w:rPr>
        <w:tab/>
      </w:r>
      <w:r>
        <w:rPr>
          <w:rFonts w:hint="cs"/>
          <w:szCs w:val="20"/>
          <w:rtl/>
        </w:rPr>
        <w:t xml:space="preserve">עד </w:t>
      </w:r>
      <w:r>
        <w:rPr>
          <w:szCs w:val="20"/>
          <w:rtl/>
        </w:rPr>
        <w:tab/>
      </w:r>
      <w:r>
        <w:rPr>
          <w:rFonts w:hint="cs"/>
          <w:szCs w:val="20"/>
          <w:rtl/>
        </w:rPr>
        <w:t>500גדולה מ-75</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w:t>
      </w:r>
      <w:r>
        <w:rPr>
          <w:szCs w:val="20"/>
          <w:rtl/>
        </w:rPr>
        <w:tab/>
      </w:r>
      <w:r>
        <w:rPr>
          <w:rFonts w:hint="cs"/>
          <w:szCs w:val="20"/>
          <w:rtl/>
        </w:rPr>
        <w:t>מיון</w:t>
      </w:r>
      <w:r>
        <w:rPr>
          <w:szCs w:val="20"/>
          <w:rtl/>
        </w:rPr>
        <w:tab/>
      </w:r>
      <w:r>
        <w:rPr>
          <w:rFonts w:hint="cs"/>
          <w:szCs w:val="20"/>
          <w:rtl/>
        </w:rPr>
        <w:t>עד 500</w:t>
      </w:r>
      <w:r>
        <w:rPr>
          <w:szCs w:val="20"/>
          <w:rtl/>
        </w:rPr>
        <w:tab/>
      </w:r>
      <w:r>
        <w:rPr>
          <w:rFonts w:hint="cs"/>
          <w:szCs w:val="20"/>
          <w:rtl/>
        </w:rPr>
        <w:t xml:space="preserve">כל כמות </w:t>
      </w:r>
    </w:p>
    <w:p w:rsidR="00F621ED" w:rsidRDefault="00F621ED">
      <w:pPr>
        <w:pStyle w:val="P03"/>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w:t>
      </w:r>
      <w:r>
        <w:rPr>
          <w:szCs w:val="20"/>
          <w:rtl/>
        </w:rPr>
        <w:tab/>
      </w:r>
      <w:r>
        <w:rPr>
          <w:rFonts w:hint="cs"/>
          <w:szCs w:val="20"/>
          <w:rtl/>
        </w:rPr>
        <w:t>מיון</w:t>
      </w:r>
      <w:r>
        <w:rPr>
          <w:szCs w:val="20"/>
          <w:rtl/>
        </w:rPr>
        <w:tab/>
      </w:r>
      <w:r>
        <w:rPr>
          <w:rFonts w:hint="cs"/>
          <w:szCs w:val="20"/>
          <w:rtl/>
        </w:rPr>
        <w:t>מעל 500</w:t>
      </w:r>
      <w:r>
        <w:rPr>
          <w:szCs w:val="20"/>
          <w:rtl/>
        </w:rPr>
        <w:tab/>
      </w:r>
      <w:r>
        <w:rPr>
          <w:rFonts w:hint="cs"/>
          <w:szCs w:val="20"/>
          <w:rtl/>
        </w:rPr>
        <w:t>קטנה מ-75</w:t>
      </w:r>
    </w:p>
    <w:p w:rsidR="00F621ED" w:rsidRDefault="00F621ED">
      <w:pPr>
        <w:pStyle w:val="P03"/>
        <w:pBdr>
          <w:bottom w:val="single" w:sz="4" w:space="1" w:color="auto"/>
        </w:pBdr>
        <w:tabs>
          <w:tab w:val="clear" w:pos="624"/>
          <w:tab w:val="clear" w:pos="1021"/>
          <w:tab w:val="clear" w:pos="1474"/>
          <w:tab w:val="clear" w:pos="1928"/>
          <w:tab w:val="clear" w:pos="2381"/>
          <w:tab w:val="clear" w:pos="2835"/>
          <w:tab w:val="clear" w:pos="6259"/>
          <w:tab w:val="left" w:pos="0"/>
          <w:tab w:val="left" w:pos="1418"/>
          <w:tab w:val="left" w:pos="3402"/>
          <w:tab w:val="left" w:pos="4536"/>
        </w:tabs>
        <w:spacing w:before="72"/>
        <w:ind w:left="1474" w:right="2268"/>
        <w:rPr>
          <w:szCs w:val="20"/>
          <w:rtl/>
        </w:rPr>
      </w:pPr>
      <w:r>
        <w:rPr>
          <w:szCs w:val="20"/>
          <w:rtl/>
        </w:rPr>
        <w:t>ק</w:t>
      </w:r>
      <w:r>
        <w:rPr>
          <w:rFonts w:hint="cs"/>
          <w:szCs w:val="20"/>
          <w:rtl/>
        </w:rPr>
        <w:t>ירוי</w:t>
      </w:r>
      <w:r>
        <w:rPr>
          <w:szCs w:val="20"/>
          <w:rtl/>
        </w:rPr>
        <w:t xml:space="preserve"> </w:t>
      </w:r>
      <w:r>
        <w:rPr>
          <w:rFonts w:hint="cs"/>
          <w:szCs w:val="20"/>
          <w:rtl/>
        </w:rPr>
        <w:t>ותת לחץ</w:t>
      </w:r>
      <w:r>
        <w:rPr>
          <w:szCs w:val="20"/>
          <w:rtl/>
        </w:rPr>
        <w:tab/>
      </w:r>
      <w:r>
        <w:rPr>
          <w:rFonts w:hint="cs"/>
          <w:szCs w:val="20"/>
          <w:rtl/>
        </w:rPr>
        <w:t>מיון</w:t>
      </w:r>
      <w:r>
        <w:rPr>
          <w:szCs w:val="20"/>
          <w:rtl/>
        </w:rPr>
        <w:tab/>
      </w:r>
      <w:r>
        <w:rPr>
          <w:rFonts w:hint="cs"/>
          <w:szCs w:val="20"/>
          <w:rtl/>
        </w:rPr>
        <w:t>מעל 500</w:t>
      </w:r>
      <w:r>
        <w:rPr>
          <w:szCs w:val="20"/>
          <w:rtl/>
        </w:rPr>
        <w:tab/>
      </w:r>
      <w:r>
        <w:rPr>
          <w:rFonts w:hint="cs"/>
          <w:szCs w:val="20"/>
          <w:rtl/>
        </w:rPr>
        <w:t>גדולה מ-75</w:t>
      </w:r>
    </w:p>
    <w:p w:rsidR="00F621ED" w:rsidRDefault="00F621ED">
      <w:pPr>
        <w:pStyle w:val="P00"/>
        <w:spacing w:before="72"/>
        <w:ind w:left="0" w:right="1134"/>
        <w:rPr>
          <w:rFonts w:hint="cs"/>
          <w:rtl/>
        </w:rPr>
      </w:pPr>
      <w:r>
        <w:rPr>
          <w:rtl/>
        </w:rPr>
        <w:t>ב</w:t>
      </w:r>
      <w:r>
        <w:rPr>
          <w:rFonts w:hint="cs"/>
          <w:rtl/>
        </w:rPr>
        <w:t xml:space="preserve">תוספת זו </w:t>
      </w:r>
      <w:r>
        <w:rPr>
          <w:rtl/>
        </w:rPr>
        <w:t>–</w:t>
      </w:r>
    </w:p>
    <w:p w:rsidR="00F621ED" w:rsidRDefault="00F621ED">
      <w:pPr>
        <w:pStyle w:val="P00"/>
        <w:spacing w:before="72"/>
        <w:ind w:left="0" w:right="1134"/>
        <w:rPr>
          <w:rtl/>
        </w:rPr>
      </w:pPr>
      <w:r>
        <w:rPr>
          <w:rtl/>
        </w:rPr>
        <w:tab/>
      </w:r>
      <w:r>
        <w:rPr>
          <w:rFonts w:hint="cs"/>
          <w:rtl/>
        </w:rPr>
        <w:t>"מיון" - הפרדת הפסולת למרכיביה השונים;</w:t>
      </w:r>
    </w:p>
    <w:p w:rsidR="00F621ED" w:rsidRDefault="00F621ED">
      <w:pPr>
        <w:pStyle w:val="P00"/>
        <w:spacing w:before="72"/>
        <w:ind w:left="0" w:right="1134"/>
        <w:rPr>
          <w:rtl/>
        </w:rPr>
      </w:pPr>
      <w:r>
        <w:rPr>
          <w:rtl/>
        </w:rPr>
        <w:tab/>
      </w:r>
      <w:r>
        <w:rPr>
          <w:rFonts w:hint="cs"/>
          <w:rtl/>
        </w:rPr>
        <w:t>"קירוי" - בניית קירות וגג סביב אזור הטיפול בפסולת בתחנת מעבר;</w:t>
      </w:r>
    </w:p>
    <w:p w:rsidR="00F621ED" w:rsidRDefault="00F621ED">
      <w:pPr>
        <w:pStyle w:val="P00"/>
        <w:spacing w:before="72"/>
        <w:ind w:left="0" w:right="1134"/>
        <w:rPr>
          <w:rtl/>
        </w:rPr>
      </w:pPr>
      <w:r>
        <w:rPr>
          <w:rtl/>
        </w:rPr>
        <w:tab/>
      </w:r>
      <w:r>
        <w:rPr>
          <w:rFonts w:hint="cs"/>
          <w:rtl/>
        </w:rPr>
        <w:t>"מערכת תת-לחץ" - מערכת בתוך מבנה, היוצרת לחץ</w:t>
      </w:r>
      <w:r>
        <w:rPr>
          <w:rtl/>
        </w:rPr>
        <w:t xml:space="preserve"> </w:t>
      </w:r>
      <w:r>
        <w:rPr>
          <w:rFonts w:hint="cs"/>
          <w:rtl/>
        </w:rPr>
        <w:t>אטמוספרי נמוך מהלחץ החיצוני, כדי למנוע פליטת ריחות לסביבה.</w:t>
      </w:r>
    </w:p>
    <w:p w:rsidR="00F621ED" w:rsidRDefault="00F621ED">
      <w:pPr>
        <w:pStyle w:val="P00"/>
        <w:spacing w:before="72"/>
        <w:ind w:left="0" w:right="1134"/>
        <w:rPr>
          <w:rStyle w:val="default"/>
          <w:rFonts w:cs="FrankRuehl" w:hint="cs"/>
          <w:rtl/>
        </w:rPr>
      </w:pPr>
    </w:p>
    <w:p w:rsidR="00F621ED" w:rsidRDefault="00F621ED">
      <w:pPr>
        <w:pStyle w:val="P00"/>
        <w:spacing w:before="72"/>
        <w:ind w:left="0" w:right="1134"/>
        <w:rPr>
          <w:rStyle w:val="default"/>
          <w:rFonts w:cs="FrankRuehl" w:hint="cs"/>
          <w:rtl/>
        </w:rPr>
      </w:pPr>
    </w:p>
    <w:p w:rsidR="00F621ED" w:rsidRDefault="00F621ED">
      <w:pPr>
        <w:pStyle w:val="sig-0"/>
        <w:ind w:left="0" w:right="1134"/>
        <w:rPr>
          <w:rtl/>
        </w:rPr>
      </w:pPr>
      <w:r>
        <w:rPr>
          <w:rtl/>
        </w:rPr>
        <w:t>כ</w:t>
      </w:r>
      <w:r>
        <w:rPr>
          <w:rFonts w:hint="cs"/>
          <w:rtl/>
        </w:rPr>
        <w:t>"ו בתמוז תשנ"ח (20 ביולי 1998)</w:t>
      </w:r>
      <w:r>
        <w:rPr>
          <w:rtl/>
        </w:rPr>
        <w:tab/>
      </w:r>
      <w:r>
        <w:rPr>
          <w:rFonts w:hint="cs"/>
          <w:rtl/>
        </w:rPr>
        <w:t>רפאל איתן</w:t>
      </w:r>
    </w:p>
    <w:p w:rsidR="00F621ED" w:rsidRDefault="00F621ED">
      <w:pPr>
        <w:pStyle w:val="sig-1"/>
        <w:widowControl/>
        <w:ind w:left="0" w:right="1134"/>
        <w:rPr>
          <w:rtl/>
        </w:rPr>
      </w:pPr>
      <w:r>
        <w:rPr>
          <w:rtl/>
        </w:rPr>
        <w:tab/>
      </w:r>
      <w:r>
        <w:rPr>
          <w:rtl/>
        </w:rPr>
        <w:tab/>
      </w:r>
      <w:r>
        <w:rPr>
          <w:rtl/>
        </w:rPr>
        <w:tab/>
      </w:r>
      <w:r>
        <w:rPr>
          <w:rFonts w:hint="cs"/>
          <w:rtl/>
        </w:rPr>
        <w:t>השר לאיכות הסביבה</w:t>
      </w:r>
    </w:p>
    <w:p w:rsidR="00F621ED" w:rsidRDefault="00F621ED">
      <w:pPr>
        <w:pStyle w:val="P00"/>
        <w:spacing w:before="72"/>
        <w:ind w:left="0" w:right="1134"/>
        <w:rPr>
          <w:rStyle w:val="default"/>
          <w:rFonts w:cs="FrankRuehl"/>
          <w:rtl/>
        </w:rPr>
      </w:pPr>
    </w:p>
    <w:p w:rsidR="00F621ED" w:rsidRDefault="00F621ED">
      <w:pPr>
        <w:pStyle w:val="P00"/>
        <w:spacing w:before="72"/>
        <w:ind w:left="0" w:right="1134"/>
        <w:rPr>
          <w:rStyle w:val="default"/>
          <w:rFonts w:cs="FrankRuehl"/>
          <w:rtl/>
        </w:rPr>
      </w:pPr>
    </w:p>
    <w:p w:rsidR="00F621ED" w:rsidRDefault="00F621ED">
      <w:pPr>
        <w:pStyle w:val="P00"/>
        <w:spacing w:before="72"/>
        <w:ind w:left="0" w:right="1134"/>
        <w:rPr>
          <w:rStyle w:val="default"/>
          <w:rFonts w:cs="FrankRuehl"/>
          <w:rtl/>
        </w:rPr>
      </w:pPr>
      <w:bookmarkStart w:id="14" w:name="LawPartEnd"/>
    </w:p>
    <w:bookmarkEnd w:id="14"/>
    <w:p w:rsidR="00503D2D" w:rsidRDefault="00503D2D">
      <w:pPr>
        <w:pStyle w:val="P00"/>
        <w:spacing w:before="72"/>
        <w:ind w:left="0" w:right="1134"/>
        <w:rPr>
          <w:rStyle w:val="default"/>
          <w:rFonts w:cs="FrankRuehl"/>
          <w:rtl/>
        </w:rPr>
      </w:pPr>
    </w:p>
    <w:p w:rsidR="00503D2D" w:rsidRDefault="00503D2D" w:rsidP="00503D2D">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F621ED" w:rsidRPr="00503D2D" w:rsidRDefault="00F621ED" w:rsidP="00503D2D">
      <w:pPr>
        <w:pStyle w:val="P00"/>
        <w:spacing w:before="72"/>
        <w:ind w:left="0" w:right="1134"/>
        <w:jc w:val="center"/>
        <w:rPr>
          <w:rStyle w:val="default"/>
          <w:rFonts w:cs="David"/>
          <w:color w:val="0000FF"/>
          <w:szCs w:val="24"/>
          <w:u w:val="single"/>
          <w:rtl/>
        </w:rPr>
      </w:pPr>
    </w:p>
    <w:sectPr w:rsidR="00F621ED" w:rsidRPr="00503D2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129B" w:rsidRDefault="0075129B">
      <w:r>
        <w:separator/>
      </w:r>
    </w:p>
  </w:endnote>
  <w:endnote w:type="continuationSeparator" w:id="0">
    <w:p w:rsidR="0075129B" w:rsidRDefault="0075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1ED" w:rsidRDefault="00F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621ED" w:rsidRDefault="00F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621ED" w:rsidRDefault="00F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D2D">
      <w:rPr>
        <w:rFonts w:cs="TopType Jerushalmi"/>
        <w:noProof/>
        <w:color w:val="000000"/>
        <w:sz w:val="14"/>
        <w:szCs w:val="14"/>
      </w:rPr>
      <w:t>Z:\00000000000000000000000=2014------------------------\05-May\2014-05-28\LawsForHofit\01\p212m1_029.doc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1ED" w:rsidRDefault="00F62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F25D3">
      <w:rPr>
        <w:rFonts w:hAnsi="FrankRuehl" w:cs="FrankRuehl"/>
        <w:noProof/>
        <w:sz w:val="24"/>
        <w:szCs w:val="24"/>
        <w:rtl/>
      </w:rPr>
      <w:t>3</w:t>
    </w:r>
    <w:r>
      <w:rPr>
        <w:rFonts w:hAnsi="FrankRuehl" w:cs="FrankRuehl"/>
        <w:sz w:val="24"/>
        <w:szCs w:val="24"/>
        <w:rtl/>
      </w:rPr>
      <w:fldChar w:fldCharType="end"/>
    </w:r>
  </w:p>
  <w:p w:rsidR="00F621ED" w:rsidRDefault="00F62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621ED" w:rsidRDefault="00F62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D2D">
      <w:rPr>
        <w:rFonts w:cs="TopType Jerushalmi"/>
        <w:noProof/>
        <w:color w:val="000000"/>
        <w:sz w:val="14"/>
        <w:szCs w:val="14"/>
      </w:rPr>
      <w:t>Z:\00000000000000000000000=2014------------------------\05-May\2014-05-28\LawsForHofit\01\p212m1_029.doc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129B" w:rsidRDefault="0075129B">
      <w:pPr>
        <w:spacing w:before="60" w:line="240" w:lineRule="auto"/>
        <w:ind w:right="1134"/>
      </w:pPr>
      <w:r>
        <w:separator/>
      </w:r>
    </w:p>
  </w:footnote>
  <w:footnote w:type="continuationSeparator" w:id="0">
    <w:p w:rsidR="0075129B" w:rsidRDefault="0075129B">
      <w:r>
        <w:continuationSeparator/>
      </w:r>
    </w:p>
  </w:footnote>
  <w:footnote w:id="1">
    <w:p w:rsidR="00F621ED" w:rsidRDefault="00F621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תשנ"ח מס</w:t>
        </w:r>
        <w:r>
          <w:rPr>
            <w:rStyle w:val="Hyperlink"/>
            <w:sz w:val="20"/>
            <w:rtl/>
          </w:rPr>
          <w:t>' 5916</w:t>
        </w:r>
      </w:hyperlink>
      <w:r>
        <w:rPr>
          <w:sz w:val="20"/>
          <w:rtl/>
        </w:rPr>
        <w:t xml:space="preserve"> </w:t>
      </w:r>
      <w:r>
        <w:rPr>
          <w:rFonts w:hint="cs"/>
          <w:sz w:val="20"/>
          <w:rtl/>
        </w:rPr>
        <w:t>מיום 6.8.1998 עמ' 1089.</w:t>
      </w:r>
    </w:p>
    <w:p w:rsidR="00FA3DFA" w:rsidRDefault="00FA3D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FF25D3">
          <w:rPr>
            <w:rStyle w:val="Hyperlink"/>
            <w:rFonts w:hint="cs"/>
            <w:sz w:val="20"/>
            <w:rtl/>
          </w:rPr>
          <w:t>ק"ת תשע"ו מס' 7666</w:t>
        </w:r>
      </w:hyperlink>
      <w:r>
        <w:rPr>
          <w:rFonts w:hint="cs"/>
          <w:sz w:val="20"/>
          <w:rtl/>
        </w:rPr>
        <w:t xml:space="preserve"> מיום 2.6.2016 עמ' 1189 </w:t>
      </w:r>
      <w:r>
        <w:rPr>
          <w:sz w:val="20"/>
          <w:rtl/>
        </w:rPr>
        <w:t>–</w:t>
      </w:r>
      <w:r>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1ED" w:rsidRDefault="00F62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(תחנת מעבר לפסולת), תשנ"ח–1998</w:t>
    </w:r>
  </w:p>
  <w:p w:rsidR="00F621ED" w:rsidRDefault="00F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21ED" w:rsidRDefault="00F62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21ED" w:rsidRDefault="00F62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(תחנת מעבר לפסולת), תשנ"ח</w:t>
    </w:r>
    <w:r>
      <w:rPr>
        <w:rFonts w:hAnsi="FrankRuehl" w:cs="FrankRuehl" w:hint="cs"/>
        <w:color w:val="000000"/>
        <w:sz w:val="28"/>
        <w:szCs w:val="28"/>
        <w:rtl/>
      </w:rPr>
      <w:t>-</w:t>
    </w:r>
    <w:r>
      <w:rPr>
        <w:rFonts w:hAnsi="FrankRuehl" w:cs="FrankRuehl"/>
        <w:color w:val="000000"/>
        <w:sz w:val="28"/>
        <w:szCs w:val="28"/>
        <w:rtl/>
      </w:rPr>
      <w:t>1998</w:t>
    </w:r>
  </w:p>
  <w:p w:rsidR="00F621ED" w:rsidRDefault="00F62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21ED" w:rsidRDefault="00F62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1C7B"/>
    <w:rsid w:val="00115AD0"/>
    <w:rsid w:val="003F6DCD"/>
    <w:rsid w:val="00503D2D"/>
    <w:rsid w:val="00624A35"/>
    <w:rsid w:val="00701C7B"/>
    <w:rsid w:val="0075129B"/>
    <w:rsid w:val="00A466C4"/>
    <w:rsid w:val="00DD4C36"/>
    <w:rsid w:val="00F621ED"/>
    <w:rsid w:val="00FA3DFA"/>
    <w:rsid w:val="00FF25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BC10931-9FDF-4721-8E1D-09240BA8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66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666.pdf" TargetMode="External"/><Relationship Id="rId1" Type="http://schemas.openxmlformats.org/officeDocument/2006/relationships/hyperlink" Target="http://www.nevo.co.il/Law_word/law06/TAK-59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8081</CharactersWithSpaces>
  <SharedDoc>false</SharedDoc>
  <HLinks>
    <vt:vector size="102" baseType="variant">
      <vt:variant>
        <vt:i4>393283</vt:i4>
      </vt:variant>
      <vt:variant>
        <vt:i4>81</vt:i4>
      </vt:variant>
      <vt:variant>
        <vt:i4>0</vt:i4>
      </vt:variant>
      <vt:variant>
        <vt:i4>5</vt:i4>
      </vt:variant>
      <vt:variant>
        <vt:lpwstr>http://www.nevo.co.il/advertisements/nevo-100.doc</vt:lpwstr>
      </vt:variant>
      <vt:variant>
        <vt:lpwstr/>
      </vt:variant>
      <vt:variant>
        <vt:i4>7864328</vt:i4>
      </vt:variant>
      <vt:variant>
        <vt:i4>78</vt:i4>
      </vt:variant>
      <vt:variant>
        <vt:i4>0</vt:i4>
      </vt:variant>
      <vt:variant>
        <vt:i4>5</vt:i4>
      </vt:variant>
      <vt:variant>
        <vt:lpwstr>http://www.nevo.co.il/Law_word/law06/tak-7666.pdf</vt:lpwstr>
      </vt:variant>
      <vt:variant>
        <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7864328</vt:i4>
      </vt:variant>
      <vt:variant>
        <vt:i4>3</vt:i4>
      </vt:variant>
      <vt:variant>
        <vt:i4>0</vt:i4>
      </vt:variant>
      <vt:variant>
        <vt:i4>5</vt:i4>
      </vt:variant>
      <vt:variant>
        <vt:lpwstr>http://www.nevo.co.il/Law_word/law06/tak-7666.pdf</vt:lpwstr>
      </vt:variant>
      <vt:variant>
        <vt:lpwstr/>
      </vt:variant>
      <vt:variant>
        <vt:i4>8192007</vt:i4>
      </vt:variant>
      <vt:variant>
        <vt:i4>0</vt:i4>
      </vt:variant>
      <vt:variant>
        <vt:i4>0</vt:i4>
      </vt:variant>
      <vt:variant>
        <vt:i4>5</vt:i4>
      </vt:variant>
      <vt:variant>
        <vt:lpwstr>http://www.nevo.co.il/Law_word/law06/TAK-5916.pdf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(תחנת מעבר לפסולת), תשנ"ח-1998</vt:lpwstr>
  </property>
  <property fmtid="{D5CDD505-2E9C-101B-9397-08002B2CF9AE}" pid="5" name="LAWNUMBER">
    <vt:lpwstr>0029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רישוי עסקים</vt:lpwstr>
  </property>
  <property fmtid="{D5CDD505-2E9C-101B-9397-08002B2CF9AE}" pid="10" name="NOSE41">
    <vt:lpwstr/>
  </property>
  <property fmtid="{D5CDD505-2E9C-101B-9397-08002B2CF9AE}" pid="11" name="NOSE12">
    <vt:lpwstr>בריאות</vt:lpwstr>
  </property>
  <property fmtid="{D5CDD505-2E9C-101B-9397-08002B2CF9AE}" pid="12" name="NOSE22">
    <vt:lpwstr>חומרים מסוכנים</vt:lpwstr>
  </property>
  <property fmtid="{D5CDD505-2E9C-101B-9397-08002B2CF9AE}" pid="13" name="NOSE32">
    <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חומרים מסוכנים</vt:lpwstr>
  </property>
  <property fmtid="{D5CDD505-2E9C-101B-9397-08002B2CF9AE}" pid="17" name="NOSE33">
    <vt:lpwstr/>
  </property>
  <property fmtid="{D5CDD505-2E9C-101B-9397-08002B2CF9AE}" pid="18" name="NOSE43">
    <vt:lpwstr/>
  </property>
  <property fmtid="{D5CDD505-2E9C-101B-9397-08002B2CF9AE}" pid="19" name="NOSE14">
    <vt:lpwstr>חקלאות טבע וסביבה</vt:lpwstr>
  </property>
  <property fmtid="{D5CDD505-2E9C-101B-9397-08002B2CF9AE}" pid="20" name="NOSE24">
    <vt:lpwstr>איכות הסביבה</vt:lpwstr>
  </property>
  <property fmtid="{D5CDD505-2E9C-101B-9397-08002B2CF9AE}" pid="21" name="NOSE34">
    <vt:lpwstr>פסולת ומיחזור</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רישוי עסקים</vt:lpwstr>
  </property>
  <property fmtid="{D5CDD505-2E9C-101B-9397-08002B2CF9AE}" pid="48" name="MEKOR_SAIF1">
    <vt:lpwstr>10אX</vt:lpwstr>
  </property>
  <property fmtid="{D5CDD505-2E9C-101B-9397-08002B2CF9AE}" pid="49" name="MEKOR_NAME2">
    <vt:lpwstr>חוק-יסוד: הממשלה</vt:lpwstr>
  </property>
  <property fmtid="{D5CDD505-2E9C-101B-9397-08002B2CF9AE}" pid="50" name="MEKOR_SAIF2">
    <vt:lpwstr>48XאX</vt:lpwstr>
  </property>
  <property fmtid="{D5CDD505-2E9C-101B-9397-08002B2CF9AE}" pid="51" name="MEKOR_NAME3">
    <vt:lpwstr>חוק העונשין</vt:lpwstr>
  </property>
  <property fmtid="{D5CDD505-2E9C-101B-9397-08002B2CF9AE}" pid="52" name="MEKOR_SAIF3">
    <vt:lpwstr>2XבX</vt:lpwstr>
  </property>
</Properties>
</file>