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4AD6" w14:textId="77777777" w:rsidR="00E64371" w:rsidRDefault="00E64371" w:rsidP="006056D3">
      <w:pPr>
        <w:pStyle w:val="big-header"/>
        <w:ind w:left="0" w:right="1134"/>
        <w:rPr>
          <w:rFonts w:cs="FrankRuehl" w:hint="cs"/>
          <w:sz w:val="32"/>
          <w:rtl/>
        </w:rPr>
      </w:pPr>
      <w:r>
        <w:rPr>
          <w:rFonts w:cs="FrankRuehl"/>
          <w:sz w:val="32"/>
          <w:rtl/>
        </w:rPr>
        <w:t>תקנות רישום קבלנים לעבודות הנדסה בנאיות (ערעור מהימנות והתנהגות בניגוד למקובל), תשמ"ט-1988</w:t>
      </w:r>
    </w:p>
    <w:p w14:paraId="6D0BEA80" w14:textId="77777777" w:rsidR="00EB1E86" w:rsidRDefault="00EB1E86" w:rsidP="00EB1E86">
      <w:pPr>
        <w:spacing w:line="320" w:lineRule="auto"/>
        <w:jc w:val="left"/>
        <w:rPr>
          <w:rFonts w:hint="cs"/>
          <w:rtl/>
        </w:rPr>
      </w:pPr>
    </w:p>
    <w:p w14:paraId="7D302CE1" w14:textId="77777777" w:rsidR="00411824" w:rsidRDefault="00411824" w:rsidP="00EB1E86">
      <w:pPr>
        <w:spacing w:line="320" w:lineRule="auto"/>
        <w:jc w:val="left"/>
        <w:rPr>
          <w:rFonts w:hint="cs"/>
          <w:rtl/>
        </w:rPr>
      </w:pPr>
    </w:p>
    <w:p w14:paraId="3C36A1A9" w14:textId="77777777" w:rsidR="00EB1E86" w:rsidRDefault="00EB1E86" w:rsidP="00EB1E86">
      <w:pPr>
        <w:spacing w:line="320" w:lineRule="auto"/>
        <w:jc w:val="left"/>
        <w:rPr>
          <w:rFonts w:cs="FrankRuehl"/>
          <w:szCs w:val="26"/>
          <w:rtl/>
        </w:rPr>
      </w:pPr>
      <w:r w:rsidRPr="00EB1E86">
        <w:rPr>
          <w:rFonts w:cs="Miriam"/>
          <w:szCs w:val="22"/>
          <w:rtl/>
        </w:rPr>
        <w:t>משפט פרטי וכלכלה</w:t>
      </w:r>
      <w:r w:rsidRPr="00EB1E86">
        <w:rPr>
          <w:rFonts w:cs="FrankRuehl"/>
          <w:szCs w:val="26"/>
          <w:rtl/>
        </w:rPr>
        <w:t xml:space="preserve"> – הסדרת עיסוק – קבלנים</w:t>
      </w:r>
    </w:p>
    <w:p w14:paraId="16E495DB" w14:textId="77777777" w:rsidR="00EB1E86" w:rsidRPr="00EB1E86" w:rsidRDefault="00EB1E86" w:rsidP="00EB1E86">
      <w:pPr>
        <w:spacing w:line="320" w:lineRule="auto"/>
        <w:jc w:val="left"/>
        <w:rPr>
          <w:rFonts w:cs="Miriam"/>
          <w:szCs w:val="22"/>
          <w:rtl/>
        </w:rPr>
      </w:pPr>
      <w:r w:rsidRPr="00EB1E86">
        <w:rPr>
          <w:rFonts w:cs="Miriam"/>
          <w:szCs w:val="22"/>
          <w:rtl/>
        </w:rPr>
        <w:t>רשויות ומשפט מנהלי</w:t>
      </w:r>
      <w:r w:rsidRPr="00EB1E86">
        <w:rPr>
          <w:rFonts w:cs="FrankRuehl"/>
          <w:szCs w:val="26"/>
          <w:rtl/>
        </w:rPr>
        <w:t xml:space="preserve"> – הסדרת עיסוק – קבלנים</w:t>
      </w:r>
    </w:p>
    <w:p w14:paraId="5A55B4A5" w14:textId="77777777" w:rsidR="00E64371" w:rsidRDefault="00E6437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153B" w:rsidRPr="00DC153B" w14:paraId="2D983E18" w14:textId="77777777">
        <w:tblPrEx>
          <w:tblCellMar>
            <w:top w:w="0" w:type="dxa"/>
            <w:bottom w:w="0" w:type="dxa"/>
          </w:tblCellMar>
        </w:tblPrEx>
        <w:tc>
          <w:tcPr>
            <w:tcW w:w="1247" w:type="dxa"/>
          </w:tcPr>
          <w:p w14:paraId="24FFFFBA" w14:textId="77777777" w:rsidR="00DC153B" w:rsidRPr="00DC153B" w:rsidRDefault="00DC153B" w:rsidP="00DC153B">
            <w:pPr>
              <w:spacing w:line="240" w:lineRule="auto"/>
              <w:jc w:val="left"/>
              <w:rPr>
                <w:rFonts w:cs="Frankruhel"/>
                <w:sz w:val="24"/>
                <w:rtl/>
              </w:rPr>
            </w:pPr>
            <w:r>
              <w:rPr>
                <w:sz w:val="24"/>
                <w:rtl/>
              </w:rPr>
              <w:t xml:space="preserve">סעיף 1 </w:t>
            </w:r>
          </w:p>
        </w:tc>
        <w:tc>
          <w:tcPr>
            <w:tcW w:w="5669" w:type="dxa"/>
          </w:tcPr>
          <w:p w14:paraId="0C02379F" w14:textId="77777777" w:rsidR="00DC153B" w:rsidRPr="00DC153B" w:rsidRDefault="00DC153B" w:rsidP="00DC153B">
            <w:pPr>
              <w:spacing w:line="240" w:lineRule="auto"/>
              <w:jc w:val="left"/>
              <w:rPr>
                <w:rFonts w:cs="Frankruhel"/>
                <w:sz w:val="24"/>
                <w:rtl/>
              </w:rPr>
            </w:pPr>
            <w:r>
              <w:rPr>
                <w:sz w:val="24"/>
                <w:rtl/>
              </w:rPr>
              <w:t>עבירה שיש בה כדי לערער מהימנות</w:t>
            </w:r>
          </w:p>
        </w:tc>
        <w:tc>
          <w:tcPr>
            <w:tcW w:w="567" w:type="dxa"/>
          </w:tcPr>
          <w:p w14:paraId="4C1C9951" w14:textId="77777777" w:rsidR="00DC153B" w:rsidRPr="00DC153B" w:rsidRDefault="00DC153B" w:rsidP="00DC153B">
            <w:pPr>
              <w:spacing w:line="240" w:lineRule="auto"/>
              <w:jc w:val="left"/>
              <w:rPr>
                <w:rStyle w:val="Hyperlink"/>
                <w:rtl/>
              </w:rPr>
            </w:pPr>
            <w:hyperlink w:anchor="Seif1" w:tooltip="עבירה שיש בה כדי לערער מהימנות" w:history="1">
              <w:r w:rsidRPr="00DC153B">
                <w:rPr>
                  <w:rStyle w:val="Hyperlink"/>
                </w:rPr>
                <w:t>Go</w:t>
              </w:r>
            </w:hyperlink>
          </w:p>
        </w:tc>
        <w:tc>
          <w:tcPr>
            <w:tcW w:w="850" w:type="dxa"/>
          </w:tcPr>
          <w:p w14:paraId="00328801" w14:textId="77777777" w:rsidR="00DC153B" w:rsidRPr="00DC153B" w:rsidRDefault="00DC153B" w:rsidP="00DC15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C153B" w:rsidRPr="00DC153B" w14:paraId="100FE2A9" w14:textId="77777777">
        <w:tblPrEx>
          <w:tblCellMar>
            <w:top w:w="0" w:type="dxa"/>
            <w:bottom w:w="0" w:type="dxa"/>
          </w:tblCellMar>
        </w:tblPrEx>
        <w:tc>
          <w:tcPr>
            <w:tcW w:w="1247" w:type="dxa"/>
          </w:tcPr>
          <w:p w14:paraId="4492ED3F" w14:textId="77777777" w:rsidR="00DC153B" w:rsidRPr="00DC153B" w:rsidRDefault="00DC153B" w:rsidP="00DC153B">
            <w:pPr>
              <w:spacing w:line="240" w:lineRule="auto"/>
              <w:jc w:val="left"/>
              <w:rPr>
                <w:rFonts w:cs="Frankruhel"/>
                <w:sz w:val="24"/>
                <w:rtl/>
              </w:rPr>
            </w:pPr>
            <w:r>
              <w:rPr>
                <w:sz w:val="24"/>
                <w:rtl/>
              </w:rPr>
              <w:t xml:space="preserve">סעיף 2 </w:t>
            </w:r>
          </w:p>
        </w:tc>
        <w:tc>
          <w:tcPr>
            <w:tcW w:w="5669" w:type="dxa"/>
          </w:tcPr>
          <w:p w14:paraId="53A45989" w14:textId="77777777" w:rsidR="00DC153B" w:rsidRPr="00DC153B" w:rsidRDefault="00DC153B" w:rsidP="00DC153B">
            <w:pPr>
              <w:spacing w:line="240" w:lineRule="auto"/>
              <w:jc w:val="left"/>
              <w:rPr>
                <w:rFonts w:cs="Frankruhel"/>
                <w:sz w:val="24"/>
                <w:rtl/>
              </w:rPr>
            </w:pPr>
            <w:r>
              <w:rPr>
                <w:sz w:val="24"/>
                <w:rtl/>
              </w:rPr>
              <w:t>הנוהג המקובל</w:t>
            </w:r>
          </w:p>
        </w:tc>
        <w:tc>
          <w:tcPr>
            <w:tcW w:w="567" w:type="dxa"/>
          </w:tcPr>
          <w:p w14:paraId="630BB9D4" w14:textId="77777777" w:rsidR="00DC153B" w:rsidRPr="00DC153B" w:rsidRDefault="00DC153B" w:rsidP="00DC153B">
            <w:pPr>
              <w:spacing w:line="240" w:lineRule="auto"/>
              <w:jc w:val="left"/>
              <w:rPr>
                <w:rStyle w:val="Hyperlink"/>
                <w:rtl/>
              </w:rPr>
            </w:pPr>
            <w:hyperlink w:anchor="Seif2" w:tooltip="הנוהג המקובל" w:history="1">
              <w:r w:rsidRPr="00DC153B">
                <w:rPr>
                  <w:rStyle w:val="Hyperlink"/>
                </w:rPr>
                <w:t>Go</w:t>
              </w:r>
            </w:hyperlink>
          </w:p>
        </w:tc>
        <w:tc>
          <w:tcPr>
            <w:tcW w:w="850" w:type="dxa"/>
          </w:tcPr>
          <w:p w14:paraId="53E4EAC8" w14:textId="77777777" w:rsidR="00DC153B" w:rsidRPr="00DC153B" w:rsidRDefault="00DC153B" w:rsidP="00DC15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C153B" w:rsidRPr="00DC153B" w14:paraId="7CE257E5" w14:textId="77777777">
        <w:tblPrEx>
          <w:tblCellMar>
            <w:top w:w="0" w:type="dxa"/>
            <w:bottom w:w="0" w:type="dxa"/>
          </w:tblCellMar>
        </w:tblPrEx>
        <w:tc>
          <w:tcPr>
            <w:tcW w:w="1247" w:type="dxa"/>
          </w:tcPr>
          <w:p w14:paraId="4C77255E" w14:textId="77777777" w:rsidR="00DC153B" w:rsidRPr="00DC153B" w:rsidRDefault="00DC153B" w:rsidP="00DC153B">
            <w:pPr>
              <w:spacing w:line="240" w:lineRule="auto"/>
              <w:jc w:val="left"/>
              <w:rPr>
                <w:rFonts w:cs="Frankruhel"/>
                <w:sz w:val="24"/>
                <w:rtl/>
              </w:rPr>
            </w:pPr>
            <w:r>
              <w:rPr>
                <w:sz w:val="24"/>
                <w:rtl/>
              </w:rPr>
              <w:t xml:space="preserve">סעיף 3 </w:t>
            </w:r>
          </w:p>
        </w:tc>
        <w:tc>
          <w:tcPr>
            <w:tcW w:w="5669" w:type="dxa"/>
          </w:tcPr>
          <w:p w14:paraId="11E154ED" w14:textId="77777777" w:rsidR="00DC153B" w:rsidRPr="00DC153B" w:rsidRDefault="00DC153B" w:rsidP="00DC153B">
            <w:pPr>
              <w:spacing w:line="240" w:lineRule="auto"/>
              <w:jc w:val="left"/>
              <w:rPr>
                <w:rFonts w:cs="Frankruhel"/>
                <w:sz w:val="24"/>
                <w:rtl/>
              </w:rPr>
            </w:pPr>
            <w:r>
              <w:rPr>
                <w:sz w:val="24"/>
                <w:rtl/>
              </w:rPr>
              <w:t>ביטול</w:t>
            </w:r>
          </w:p>
        </w:tc>
        <w:tc>
          <w:tcPr>
            <w:tcW w:w="567" w:type="dxa"/>
          </w:tcPr>
          <w:p w14:paraId="0C83D068" w14:textId="77777777" w:rsidR="00DC153B" w:rsidRPr="00DC153B" w:rsidRDefault="00DC153B" w:rsidP="00DC153B">
            <w:pPr>
              <w:spacing w:line="240" w:lineRule="auto"/>
              <w:jc w:val="left"/>
              <w:rPr>
                <w:rStyle w:val="Hyperlink"/>
                <w:rtl/>
              </w:rPr>
            </w:pPr>
            <w:hyperlink w:anchor="Seif3" w:tooltip="ביטול" w:history="1">
              <w:r w:rsidRPr="00DC153B">
                <w:rPr>
                  <w:rStyle w:val="Hyperlink"/>
                </w:rPr>
                <w:t>Go</w:t>
              </w:r>
            </w:hyperlink>
          </w:p>
        </w:tc>
        <w:tc>
          <w:tcPr>
            <w:tcW w:w="850" w:type="dxa"/>
          </w:tcPr>
          <w:p w14:paraId="37DEE41F" w14:textId="77777777" w:rsidR="00DC153B" w:rsidRPr="00DC153B" w:rsidRDefault="00DC153B" w:rsidP="00DC15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252D5D8" w14:textId="77777777" w:rsidR="00E64371" w:rsidRDefault="00E64371">
      <w:pPr>
        <w:pStyle w:val="big-header"/>
        <w:ind w:left="0" w:right="1134"/>
        <w:rPr>
          <w:rFonts w:cs="FrankRuehl"/>
          <w:sz w:val="32"/>
          <w:rtl/>
        </w:rPr>
      </w:pPr>
    </w:p>
    <w:p w14:paraId="0EE27772" w14:textId="77777777" w:rsidR="00E64371" w:rsidRDefault="00E64371" w:rsidP="00EB1E8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רישום קבלנים לעבודות הנדסה בנאיות (ערעור מהימנות </w:t>
      </w:r>
      <w:r w:rsidR="006056D3">
        <w:rPr>
          <w:rFonts w:cs="FrankRuehl" w:hint="cs"/>
          <w:sz w:val="32"/>
          <w:rtl/>
        </w:rPr>
        <w:t>והתנהגות בניגוד למקובל), תשמ"ט-</w:t>
      </w:r>
      <w:r>
        <w:rPr>
          <w:rFonts w:cs="FrankRuehl" w:hint="cs"/>
          <w:sz w:val="32"/>
          <w:rtl/>
        </w:rPr>
        <w:t>1988</w:t>
      </w:r>
      <w:r w:rsidR="006056D3">
        <w:rPr>
          <w:rStyle w:val="a6"/>
          <w:rFonts w:cs="FrankRuehl"/>
          <w:sz w:val="32"/>
          <w:rtl/>
        </w:rPr>
        <w:footnoteReference w:customMarkFollows="1" w:id="1"/>
        <w:t>*</w:t>
      </w:r>
    </w:p>
    <w:p w14:paraId="210CF7D4" w14:textId="77777777" w:rsidR="00E64371" w:rsidRDefault="00E64371" w:rsidP="00B36CD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8(א)(2) ו-(3) ו-17 לחוק רישום קבלנים לעבודות הנדסה בנאיות, תשכ"ט-1969, ולאחר התייעצות בוועדת ה</w:t>
      </w:r>
      <w:r>
        <w:rPr>
          <w:rStyle w:val="default"/>
          <w:rFonts w:cs="FrankRuehl"/>
          <w:rtl/>
        </w:rPr>
        <w:t>כל</w:t>
      </w:r>
      <w:r>
        <w:rPr>
          <w:rStyle w:val="default"/>
          <w:rFonts w:cs="FrankRuehl" w:hint="cs"/>
          <w:rtl/>
        </w:rPr>
        <w:t>כלה של הכנסת ובמועצה, אני מתקין תקנות אלה:</w:t>
      </w:r>
    </w:p>
    <w:p w14:paraId="098C4853" w14:textId="77777777" w:rsidR="00E64371" w:rsidRDefault="00E64371" w:rsidP="00B36CD7">
      <w:pPr>
        <w:pStyle w:val="P00"/>
        <w:spacing w:before="72"/>
        <w:ind w:left="0" w:right="1134"/>
        <w:rPr>
          <w:rStyle w:val="default"/>
          <w:rFonts w:cs="FrankRuehl"/>
          <w:rtl/>
        </w:rPr>
      </w:pPr>
      <w:bookmarkStart w:id="0" w:name="Seif1"/>
      <w:bookmarkEnd w:id="0"/>
      <w:r>
        <w:rPr>
          <w:lang w:val="he-IL"/>
        </w:rPr>
        <w:pict w14:anchorId="552122BC">
          <v:rect id="_x0000_s1026" style="position:absolute;left:0;text-align:left;margin-left:464.5pt;margin-top:8.05pt;width:75.05pt;height:31.4pt;z-index:251654656" o:allowincell="f" filled="f" stroked="f" strokecolor="lime" strokeweight=".25pt">
            <v:textbox inset="0,0,0,0">
              <w:txbxContent>
                <w:p w14:paraId="047FC7EF" w14:textId="77777777" w:rsidR="00E64371" w:rsidRDefault="00E64371" w:rsidP="00B36CD7">
                  <w:pPr>
                    <w:spacing w:line="160" w:lineRule="exact"/>
                    <w:jc w:val="left"/>
                    <w:rPr>
                      <w:rFonts w:cs="Miriam"/>
                      <w:noProof/>
                      <w:sz w:val="18"/>
                      <w:szCs w:val="18"/>
                      <w:rtl/>
                    </w:rPr>
                  </w:pPr>
                  <w:r>
                    <w:rPr>
                      <w:rFonts w:cs="Miriam"/>
                      <w:sz w:val="18"/>
                      <w:szCs w:val="18"/>
                      <w:rtl/>
                    </w:rPr>
                    <w:t>עב</w:t>
                  </w:r>
                  <w:r>
                    <w:rPr>
                      <w:rFonts w:cs="Miriam" w:hint="cs"/>
                      <w:sz w:val="18"/>
                      <w:szCs w:val="18"/>
                      <w:rtl/>
                    </w:rPr>
                    <w:t>ירה שיש בה</w:t>
                  </w:r>
                  <w:r w:rsidR="00B36CD7">
                    <w:rPr>
                      <w:rFonts w:cs="Miriam" w:hint="cs"/>
                      <w:sz w:val="18"/>
                      <w:szCs w:val="18"/>
                      <w:rtl/>
                    </w:rPr>
                    <w:t xml:space="preserve"> </w:t>
                  </w:r>
                  <w:r>
                    <w:rPr>
                      <w:rFonts w:cs="Miriam"/>
                      <w:sz w:val="18"/>
                      <w:szCs w:val="18"/>
                      <w:rtl/>
                    </w:rPr>
                    <w:t>כד</w:t>
                  </w:r>
                  <w:r>
                    <w:rPr>
                      <w:rFonts w:cs="Miriam" w:hint="cs"/>
                      <w:sz w:val="18"/>
                      <w:szCs w:val="18"/>
                      <w:rtl/>
                    </w:rPr>
                    <w:t>י לערער</w:t>
                  </w:r>
                  <w:r w:rsidR="00B36CD7">
                    <w:rPr>
                      <w:rFonts w:cs="Miriam" w:hint="cs"/>
                      <w:noProof/>
                      <w:sz w:val="18"/>
                      <w:szCs w:val="18"/>
                      <w:rtl/>
                    </w:rPr>
                    <w:t xml:space="preserve"> </w:t>
                  </w:r>
                  <w:r>
                    <w:rPr>
                      <w:rFonts w:cs="Miriam"/>
                      <w:sz w:val="18"/>
                      <w:szCs w:val="18"/>
                      <w:rtl/>
                    </w:rPr>
                    <w:t>מה</w:t>
                  </w:r>
                  <w:r>
                    <w:rPr>
                      <w:rFonts w:cs="Miriam" w:hint="cs"/>
                      <w:sz w:val="18"/>
                      <w:szCs w:val="18"/>
                      <w:rtl/>
                    </w:rPr>
                    <w:t>ימנות</w:t>
                  </w:r>
                </w:p>
                <w:p w14:paraId="3525CFAE" w14:textId="77777777" w:rsidR="00E64371" w:rsidRDefault="00E64371" w:rsidP="00B36CD7">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Style w:val="big-number"/>
          <w:rFonts w:cs="Miriam"/>
          <w:rtl/>
        </w:rPr>
        <w:t>1.</w:t>
      </w:r>
      <w:r>
        <w:rPr>
          <w:rStyle w:val="big-number"/>
          <w:rFonts w:cs="Miriam"/>
          <w:rtl/>
        </w:rPr>
        <w:tab/>
      </w:r>
      <w:r>
        <w:rPr>
          <w:rStyle w:val="default"/>
          <w:rFonts w:cs="FrankRuehl"/>
          <w:rtl/>
        </w:rPr>
        <w:t>כל</w:t>
      </w:r>
      <w:r>
        <w:rPr>
          <w:rStyle w:val="default"/>
          <w:rFonts w:cs="FrankRuehl" w:hint="cs"/>
          <w:rtl/>
        </w:rPr>
        <w:t xml:space="preserve"> אחת מהעבירות המפורטות להלן, נקבעת בזה כעבירה שיש בה כדי לערער מהימנותו של קבלן לעבודות הנדסה בנאיות, אם הוא נידון עליה לשלושה חודשי מאסר או מחצית הקנס הקבוע בסעיף 61(א)(1) לחוק העונשין, </w:t>
      </w:r>
      <w:r w:rsidR="007C0E32">
        <w:rPr>
          <w:rStyle w:val="default"/>
          <w:rFonts w:cs="FrankRuehl" w:hint="cs"/>
          <w:rtl/>
        </w:rPr>
        <w:t>ה</w:t>
      </w:r>
      <w:r>
        <w:rPr>
          <w:rStyle w:val="default"/>
          <w:rFonts w:cs="FrankRuehl" w:hint="cs"/>
          <w:rtl/>
        </w:rPr>
        <w:t>תשל"ז-1977, לפחות</w:t>
      </w:r>
      <w:r>
        <w:rPr>
          <w:rStyle w:val="default"/>
          <w:rFonts w:cs="FrankRuehl"/>
          <w:rtl/>
        </w:rPr>
        <w:t xml:space="preserve"> ו</w:t>
      </w:r>
      <w:r>
        <w:rPr>
          <w:rStyle w:val="default"/>
          <w:rFonts w:cs="FrankRuehl" w:hint="cs"/>
          <w:rtl/>
        </w:rPr>
        <w:t>מעלה:</w:t>
      </w:r>
    </w:p>
    <w:p w14:paraId="65BF567E" w14:textId="77777777" w:rsidR="00E64371" w:rsidRDefault="00E64371" w:rsidP="00B36CD7">
      <w:pPr>
        <w:pStyle w:val="P03"/>
        <w:spacing w:before="72"/>
        <w:ind w:left="1021" w:right="1134" w:hanging="397"/>
        <w:rPr>
          <w:rStyle w:val="default"/>
          <w:rFonts w:cs="FrankRuehl"/>
          <w:rtl/>
        </w:rPr>
      </w:pPr>
      <w:r>
        <w:rPr>
          <w:rStyle w:val="default"/>
          <w:rFonts w:cs="FrankRuehl"/>
          <w:rtl/>
        </w:rPr>
        <w:t>א.</w:t>
      </w:r>
      <w:r>
        <w:rPr>
          <w:rStyle w:val="default"/>
          <w:rFonts w:cs="FrankRuehl"/>
          <w:rtl/>
        </w:rPr>
        <w:tab/>
        <w:t>כ</w:t>
      </w:r>
      <w:r>
        <w:rPr>
          <w:rStyle w:val="default"/>
          <w:rFonts w:cs="FrankRuehl" w:hint="cs"/>
          <w:rtl/>
        </w:rPr>
        <w:t>ל עבירה שהיא עוון או פשע לפי חוק העונשי</w:t>
      </w:r>
      <w:r>
        <w:rPr>
          <w:rStyle w:val="default"/>
          <w:rFonts w:cs="FrankRuehl"/>
          <w:rtl/>
        </w:rPr>
        <w:t>ן</w:t>
      </w:r>
      <w:r>
        <w:rPr>
          <w:rStyle w:val="default"/>
          <w:rFonts w:cs="FrankRuehl" w:hint="cs"/>
          <w:rtl/>
        </w:rPr>
        <w:t xml:space="preserve">, </w:t>
      </w:r>
      <w:r w:rsidR="00446B7C">
        <w:rPr>
          <w:rStyle w:val="default"/>
          <w:rFonts w:cs="FrankRuehl" w:hint="cs"/>
          <w:rtl/>
        </w:rPr>
        <w:t>ה</w:t>
      </w:r>
      <w:r>
        <w:rPr>
          <w:rStyle w:val="default"/>
          <w:rFonts w:cs="FrankRuehl" w:hint="cs"/>
          <w:rtl/>
        </w:rPr>
        <w:t>תשל"ז-</w:t>
      </w:r>
      <w:r>
        <w:rPr>
          <w:rStyle w:val="default"/>
          <w:rFonts w:cs="FrankRuehl"/>
          <w:rtl/>
        </w:rPr>
        <w:tab/>
        <w:t>1977;</w:t>
      </w:r>
    </w:p>
    <w:p w14:paraId="7865FE68" w14:textId="77777777" w:rsidR="00E64371" w:rsidRDefault="00E64371" w:rsidP="00B36CD7">
      <w:pPr>
        <w:pStyle w:val="P03"/>
        <w:spacing w:before="72"/>
        <w:ind w:left="1021" w:right="1134" w:hanging="397"/>
        <w:rPr>
          <w:rStyle w:val="default"/>
          <w:rFonts w:cs="FrankRuehl"/>
          <w:rtl/>
        </w:rPr>
      </w:pPr>
      <w:r>
        <w:rPr>
          <w:rStyle w:val="default"/>
          <w:rFonts w:cs="FrankRuehl"/>
          <w:rtl/>
        </w:rPr>
        <w:t>ב.</w:t>
      </w:r>
      <w:r>
        <w:rPr>
          <w:rStyle w:val="default"/>
          <w:rFonts w:cs="FrankRuehl"/>
          <w:rtl/>
        </w:rPr>
        <w:tab/>
        <w:t>ע</w:t>
      </w:r>
      <w:r>
        <w:rPr>
          <w:rStyle w:val="default"/>
          <w:rFonts w:cs="FrankRuehl" w:hint="cs"/>
          <w:rtl/>
        </w:rPr>
        <w:t>בירות לפי פקודת המכרות;</w:t>
      </w:r>
    </w:p>
    <w:p w14:paraId="7BDDC56D" w14:textId="77777777" w:rsidR="00E64371" w:rsidRDefault="00E64371" w:rsidP="00B36CD7">
      <w:pPr>
        <w:pStyle w:val="P03"/>
        <w:spacing w:before="72"/>
        <w:ind w:left="1021" w:right="1134" w:hanging="397"/>
        <w:rPr>
          <w:rStyle w:val="default"/>
          <w:rFonts w:cs="FrankRuehl"/>
          <w:rtl/>
        </w:rPr>
      </w:pPr>
      <w:r>
        <w:rPr>
          <w:rStyle w:val="default"/>
          <w:rFonts w:cs="FrankRuehl"/>
          <w:rtl/>
        </w:rPr>
        <w:t>ג.</w:t>
      </w:r>
      <w:r>
        <w:rPr>
          <w:rStyle w:val="default"/>
          <w:rFonts w:cs="FrankRuehl"/>
          <w:rtl/>
        </w:rPr>
        <w:tab/>
        <w:t>ע</w:t>
      </w:r>
      <w:r>
        <w:rPr>
          <w:rStyle w:val="default"/>
          <w:rFonts w:cs="FrankRuehl" w:hint="cs"/>
          <w:rtl/>
        </w:rPr>
        <w:t>בירות לפי פקודת הבטיחות בעבודה [נוסח חדש],</w:t>
      </w:r>
      <w:r>
        <w:rPr>
          <w:rStyle w:val="default"/>
          <w:rFonts w:cs="FrankRuehl"/>
          <w:rtl/>
        </w:rPr>
        <w:t xml:space="preserve"> </w:t>
      </w:r>
      <w:r w:rsidR="00446B7C">
        <w:rPr>
          <w:rStyle w:val="default"/>
          <w:rFonts w:cs="FrankRuehl" w:hint="cs"/>
          <w:rtl/>
        </w:rPr>
        <w:t>ה</w:t>
      </w:r>
      <w:r>
        <w:rPr>
          <w:rStyle w:val="default"/>
          <w:rFonts w:cs="FrankRuehl"/>
          <w:rtl/>
        </w:rPr>
        <w:t>ת</w:t>
      </w:r>
      <w:r>
        <w:rPr>
          <w:rStyle w:val="default"/>
          <w:rFonts w:cs="FrankRuehl" w:hint="cs"/>
          <w:rtl/>
        </w:rPr>
        <w:t>ש"ל-1970;</w:t>
      </w:r>
    </w:p>
    <w:p w14:paraId="05EBEB4D" w14:textId="77777777" w:rsidR="00E64371" w:rsidRDefault="00E64371" w:rsidP="00B36CD7">
      <w:pPr>
        <w:pStyle w:val="P03"/>
        <w:spacing w:before="72"/>
        <w:ind w:left="1021" w:right="1134" w:hanging="397"/>
        <w:rPr>
          <w:rStyle w:val="default"/>
          <w:rFonts w:cs="FrankRuehl"/>
          <w:rtl/>
        </w:rPr>
      </w:pPr>
      <w:r>
        <w:rPr>
          <w:rStyle w:val="default"/>
          <w:rFonts w:cs="FrankRuehl"/>
          <w:rtl/>
        </w:rPr>
        <w:t>ד.</w:t>
      </w:r>
      <w:r>
        <w:rPr>
          <w:rStyle w:val="default"/>
          <w:rFonts w:cs="FrankRuehl"/>
          <w:rtl/>
        </w:rPr>
        <w:tab/>
        <w:t>ע</w:t>
      </w:r>
      <w:r>
        <w:rPr>
          <w:rStyle w:val="default"/>
          <w:rFonts w:cs="FrankRuehl" w:hint="cs"/>
          <w:rtl/>
        </w:rPr>
        <w:t xml:space="preserve">בירות לפי חוק רישום קבלנים לעבודות הנדסה בנאיות, </w:t>
      </w:r>
      <w:r w:rsidR="00446B7C">
        <w:rPr>
          <w:rStyle w:val="default"/>
          <w:rFonts w:cs="FrankRuehl" w:hint="cs"/>
          <w:rtl/>
        </w:rPr>
        <w:t>ה</w:t>
      </w:r>
      <w:r>
        <w:rPr>
          <w:rStyle w:val="default"/>
          <w:rFonts w:cs="FrankRuehl" w:hint="cs"/>
          <w:rtl/>
        </w:rPr>
        <w:t>תשכ"ט-1969;</w:t>
      </w:r>
    </w:p>
    <w:p w14:paraId="46AE9076" w14:textId="77777777" w:rsidR="00E64371" w:rsidRDefault="00E64371" w:rsidP="00B36CD7">
      <w:pPr>
        <w:pStyle w:val="P03"/>
        <w:spacing w:before="72"/>
        <w:ind w:left="1021" w:right="1134" w:hanging="397"/>
        <w:rPr>
          <w:rStyle w:val="default"/>
          <w:rFonts w:cs="FrankRuehl"/>
          <w:rtl/>
        </w:rPr>
      </w:pPr>
      <w:r>
        <w:rPr>
          <w:rStyle w:val="default"/>
          <w:rFonts w:cs="FrankRuehl"/>
          <w:rtl/>
        </w:rPr>
        <w:t>ה.</w:t>
      </w:r>
      <w:r>
        <w:rPr>
          <w:rStyle w:val="default"/>
          <w:rFonts w:cs="FrankRuehl"/>
          <w:rtl/>
        </w:rPr>
        <w:tab/>
        <w:t>ע</w:t>
      </w:r>
      <w:r>
        <w:rPr>
          <w:rStyle w:val="default"/>
          <w:rFonts w:cs="FrankRuehl" w:hint="cs"/>
          <w:rtl/>
        </w:rPr>
        <w:t>בירות לפי חוק המכ</w:t>
      </w:r>
      <w:r>
        <w:rPr>
          <w:rStyle w:val="default"/>
          <w:rFonts w:cs="FrankRuehl"/>
          <w:rtl/>
        </w:rPr>
        <w:t>ר (</w:t>
      </w:r>
      <w:r>
        <w:rPr>
          <w:rStyle w:val="default"/>
          <w:rFonts w:cs="FrankRuehl" w:hint="cs"/>
          <w:rtl/>
        </w:rPr>
        <w:t xml:space="preserve">דירות), </w:t>
      </w:r>
      <w:r w:rsidR="00446B7C">
        <w:rPr>
          <w:rStyle w:val="default"/>
          <w:rFonts w:cs="FrankRuehl" w:hint="cs"/>
          <w:rtl/>
        </w:rPr>
        <w:t>ה</w:t>
      </w:r>
      <w:r>
        <w:rPr>
          <w:rStyle w:val="default"/>
          <w:rFonts w:cs="FrankRuehl" w:hint="cs"/>
          <w:rtl/>
        </w:rPr>
        <w:t>תשל"ג-1973;</w:t>
      </w:r>
    </w:p>
    <w:p w14:paraId="31E8CE24" w14:textId="77777777" w:rsidR="00E64371" w:rsidRDefault="00E64371" w:rsidP="00B36CD7">
      <w:pPr>
        <w:pStyle w:val="P03"/>
        <w:spacing w:before="72"/>
        <w:ind w:left="1021" w:right="1134" w:hanging="397"/>
        <w:rPr>
          <w:rStyle w:val="default"/>
          <w:rFonts w:cs="FrankRuehl"/>
          <w:rtl/>
        </w:rPr>
      </w:pPr>
      <w:r>
        <w:rPr>
          <w:rStyle w:val="default"/>
          <w:rFonts w:cs="FrankRuehl"/>
          <w:rtl/>
        </w:rPr>
        <w:t>ו.</w:t>
      </w:r>
      <w:r>
        <w:rPr>
          <w:rStyle w:val="default"/>
          <w:rFonts w:cs="FrankRuehl"/>
          <w:rtl/>
        </w:rPr>
        <w:tab/>
        <w:t>ע</w:t>
      </w:r>
      <w:r>
        <w:rPr>
          <w:rStyle w:val="default"/>
          <w:rFonts w:cs="FrankRuehl" w:hint="cs"/>
          <w:rtl/>
        </w:rPr>
        <w:t xml:space="preserve">בירות לפי חוק המכר (דירות) (הבטחת השקעות של רוכשי דירות), </w:t>
      </w:r>
      <w:r w:rsidR="00446B7C">
        <w:rPr>
          <w:rStyle w:val="default"/>
          <w:rFonts w:cs="FrankRuehl" w:hint="cs"/>
          <w:rtl/>
        </w:rPr>
        <w:t>ה</w:t>
      </w:r>
      <w:r>
        <w:rPr>
          <w:rStyle w:val="default"/>
          <w:rFonts w:cs="FrankRuehl" w:hint="cs"/>
          <w:rtl/>
        </w:rPr>
        <w:t>תשל"ה-1974;</w:t>
      </w:r>
    </w:p>
    <w:p w14:paraId="4B391BA9" w14:textId="77777777" w:rsidR="00E64371" w:rsidRDefault="00E64371" w:rsidP="00B36CD7">
      <w:pPr>
        <w:pStyle w:val="P03"/>
        <w:spacing w:before="72"/>
        <w:ind w:left="1021" w:right="1134" w:hanging="397"/>
        <w:rPr>
          <w:rStyle w:val="default"/>
          <w:rFonts w:cs="FrankRuehl"/>
          <w:rtl/>
        </w:rPr>
      </w:pPr>
      <w:r>
        <w:rPr>
          <w:rStyle w:val="default"/>
          <w:rFonts w:cs="FrankRuehl"/>
          <w:rtl/>
        </w:rPr>
        <w:t>ז.</w:t>
      </w:r>
      <w:r>
        <w:rPr>
          <w:rStyle w:val="default"/>
          <w:rFonts w:cs="FrankRuehl"/>
          <w:rtl/>
        </w:rPr>
        <w:tab/>
        <w:t>ע</w:t>
      </w:r>
      <w:r>
        <w:rPr>
          <w:rStyle w:val="default"/>
          <w:rFonts w:cs="FrankRuehl" w:hint="cs"/>
          <w:rtl/>
        </w:rPr>
        <w:t xml:space="preserve">בירות לפי חוק שיקים ללא כיסוי, </w:t>
      </w:r>
      <w:r w:rsidR="00446B7C">
        <w:rPr>
          <w:rStyle w:val="default"/>
          <w:rFonts w:cs="FrankRuehl" w:hint="cs"/>
          <w:rtl/>
        </w:rPr>
        <w:t>ה</w:t>
      </w:r>
      <w:r>
        <w:rPr>
          <w:rStyle w:val="default"/>
          <w:rFonts w:cs="FrankRuehl" w:hint="cs"/>
          <w:rtl/>
        </w:rPr>
        <w:t>תשמ"א-1981;</w:t>
      </w:r>
    </w:p>
    <w:p w14:paraId="68E70167" w14:textId="77777777" w:rsidR="00E64371" w:rsidRDefault="00E64371" w:rsidP="00B36CD7">
      <w:pPr>
        <w:pStyle w:val="P03"/>
        <w:spacing w:before="72"/>
        <w:ind w:left="1021" w:right="1134" w:hanging="397"/>
        <w:rPr>
          <w:rStyle w:val="default"/>
          <w:rFonts w:cs="FrankRuehl"/>
          <w:rtl/>
        </w:rPr>
      </w:pPr>
      <w:r>
        <w:rPr>
          <w:rStyle w:val="default"/>
          <w:rFonts w:cs="FrankRuehl"/>
          <w:rtl/>
        </w:rPr>
        <w:t>ח.</w:t>
      </w:r>
      <w:r>
        <w:rPr>
          <w:rStyle w:val="default"/>
          <w:rFonts w:cs="FrankRuehl"/>
          <w:rtl/>
        </w:rPr>
        <w:tab/>
        <w:t>ע</w:t>
      </w:r>
      <w:r>
        <w:rPr>
          <w:rStyle w:val="default"/>
          <w:rFonts w:cs="FrankRuehl" w:hint="cs"/>
          <w:rtl/>
        </w:rPr>
        <w:t>בירות לפי פרק י' לחוק התכנון והבניה;</w:t>
      </w:r>
    </w:p>
    <w:p w14:paraId="012DB28D" w14:textId="77777777" w:rsidR="00E64371" w:rsidRDefault="00E64371" w:rsidP="00B36CD7">
      <w:pPr>
        <w:pStyle w:val="P03"/>
        <w:spacing w:before="72"/>
        <w:ind w:left="1021" w:right="1134" w:hanging="397"/>
        <w:rPr>
          <w:rStyle w:val="default"/>
          <w:rFonts w:cs="FrankRuehl" w:hint="cs"/>
          <w:rtl/>
        </w:rPr>
      </w:pPr>
      <w:r>
        <w:rPr>
          <w:lang w:val="he-IL"/>
        </w:rPr>
        <w:pict w14:anchorId="733E6408">
          <v:rect id="_x0000_s1027" style="position:absolute;left:0;text-align:left;margin-left:464.5pt;margin-top:8.05pt;width:75.05pt;height:10pt;z-index:251655680" o:allowincell="f" filled="f" stroked="f" strokecolor="lime" strokeweight=".25pt">
            <v:textbox inset="0,0,0,0">
              <w:txbxContent>
                <w:p w14:paraId="50D5571B" w14:textId="77777777" w:rsidR="00E64371" w:rsidRDefault="00E64371" w:rsidP="00B36CD7">
                  <w:pPr>
                    <w:spacing w:line="160" w:lineRule="exact"/>
                    <w:jc w:val="left"/>
                    <w:rPr>
                      <w:rFonts w:cs="Miriam"/>
                      <w:noProof/>
                      <w:sz w:val="18"/>
                      <w:szCs w:val="18"/>
                      <w:rtl/>
                    </w:rPr>
                  </w:pPr>
                  <w:r>
                    <w:rPr>
                      <w:rFonts w:cs="Miriam"/>
                      <w:sz w:val="18"/>
                      <w:szCs w:val="18"/>
                      <w:rtl/>
                    </w:rPr>
                    <w:t>תק</w:t>
                  </w:r>
                  <w:r>
                    <w:rPr>
                      <w:rFonts w:cs="Miriam" w:hint="cs"/>
                      <w:sz w:val="18"/>
                      <w:szCs w:val="18"/>
                      <w:rtl/>
                    </w:rPr>
                    <w:t>' תשנ"ט-1998</w:t>
                  </w:r>
                </w:p>
              </w:txbxContent>
            </v:textbox>
            <w10:anchorlock/>
          </v:rect>
        </w:pict>
      </w:r>
      <w:r>
        <w:rPr>
          <w:rStyle w:val="default"/>
          <w:rFonts w:cs="FrankRuehl"/>
          <w:rtl/>
        </w:rPr>
        <w:t>ט.</w:t>
      </w:r>
      <w:r>
        <w:rPr>
          <w:rStyle w:val="default"/>
          <w:rFonts w:cs="FrankRuehl"/>
          <w:rtl/>
        </w:rPr>
        <w:tab/>
        <w:t>ע</w:t>
      </w:r>
      <w:r>
        <w:rPr>
          <w:rStyle w:val="default"/>
          <w:rFonts w:cs="FrankRuehl" w:hint="cs"/>
          <w:rtl/>
        </w:rPr>
        <w:t xml:space="preserve">בירה לפי סעיף 2 לחוק עובדים זרים (העסקה שלא כדין), </w:t>
      </w:r>
      <w:r w:rsidR="00B96BD7">
        <w:rPr>
          <w:rStyle w:val="default"/>
          <w:rFonts w:cs="FrankRuehl" w:hint="cs"/>
          <w:rtl/>
        </w:rPr>
        <w:t>ה</w:t>
      </w:r>
      <w:r>
        <w:rPr>
          <w:rStyle w:val="default"/>
          <w:rFonts w:cs="FrankRuehl" w:hint="cs"/>
          <w:rtl/>
        </w:rPr>
        <w:t>תשנ"</w:t>
      </w:r>
      <w:r>
        <w:rPr>
          <w:rStyle w:val="default"/>
          <w:rFonts w:cs="FrankRuehl"/>
          <w:rtl/>
        </w:rPr>
        <w:t>א-1991.</w:t>
      </w:r>
    </w:p>
    <w:p w14:paraId="51276E70" w14:textId="77777777" w:rsidR="008407BD" w:rsidRPr="00411824" w:rsidRDefault="006842F7" w:rsidP="006842F7">
      <w:pPr>
        <w:pStyle w:val="P03"/>
        <w:spacing w:before="0"/>
        <w:ind w:left="1474" w:right="1134"/>
        <w:rPr>
          <w:rFonts w:cs="FrankRuehl" w:hint="cs"/>
          <w:vanish/>
          <w:color w:val="FF0000"/>
          <w:szCs w:val="20"/>
          <w:shd w:val="clear" w:color="auto" w:fill="FFFF99"/>
          <w:rtl/>
        </w:rPr>
      </w:pPr>
      <w:bookmarkStart w:id="1" w:name="Rov7"/>
      <w:r w:rsidRPr="00411824">
        <w:rPr>
          <w:rFonts w:cs="FrankRuehl" w:hint="cs"/>
          <w:vanish/>
          <w:color w:val="FF0000"/>
          <w:szCs w:val="20"/>
          <w:shd w:val="clear" w:color="auto" w:fill="FFFF99"/>
          <w:rtl/>
        </w:rPr>
        <w:t>מיום 7.1.1999</w:t>
      </w:r>
    </w:p>
    <w:p w14:paraId="70C4A6C3" w14:textId="77777777" w:rsidR="008407BD" w:rsidRPr="00411824" w:rsidRDefault="008407BD" w:rsidP="00567723">
      <w:pPr>
        <w:pStyle w:val="P03"/>
        <w:spacing w:before="0"/>
        <w:ind w:left="1474" w:right="1134"/>
        <w:rPr>
          <w:rStyle w:val="default"/>
          <w:rFonts w:cs="FrankRuehl" w:hint="cs"/>
          <w:b/>
          <w:bCs/>
          <w:vanish/>
          <w:sz w:val="20"/>
          <w:szCs w:val="20"/>
          <w:shd w:val="clear" w:color="auto" w:fill="FFFF99"/>
          <w:rtl/>
        </w:rPr>
      </w:pPr>
      <w:r w:rsidRPr="00411824">
        <w:rPr>
          <w:rFonts w:cs="FrankRuehl" w:hint="cs"/>
          <w:b/>
          <w:bCs/>
          <w:vanish/>
          <w:szCs w:val="20"/>
          <w:shd w:val="clear" w:color="auto" w:fill="FFFF99"/>
          <w:rtl/>
        </w:rPr>
        <w:t>תק' תשנ"ט-</w:t>
      </w:r>
      <w:r w:rsidRPr="00411824">
        <w:rPr>
          <w:rFonts w:cs="FrankRuehl"/>
          <w:b/>
          <w:bCs/>
          <w:vanish/>
          <w:szCs w:val="20"/>
          <w:shd w:val="clear" w:color="auto" w:fill="FFFF99"/>
          <w:rtl/>
        </w:rPr>
        <w:t>1998</w:t>
      </w:r>
    </w:p>
    <w:p w14:paraId="433E779B" w14:textId="77777777" w:rsidR="00567723" w:rsidRPr="00411824" w:rsidRDefault="00567723" w:rsidP="008407BD">
      <w:pPr>
        <w:pStyle w:val="P03"/>
        <w:spacing w:before="0"/>
        <w:ind w:left="1474" w:right="1134"/>
        <w:rPr>
          <w:rFonts w:cs="FrankRuehl" w:hint="cs"/>
          <w:vanish/>
          <w:szCs w:val="20"/>
          <w:shd w:val="clear" w:color="auto" w:fill="FFFF99"/>
          <w:rtl/>
        </w:rPr>
      </w:pPr>
      <w:hyperlink r:id="rId6" w:history="1">
        <w:r w:rsidRPr="00411824">
          <w:rPr>
            <w:rStyle w:val="Hyperlink"/>
            <w:rFonts w:cs="FrankRuehl" w:hint="cs"/>
            <w:vanish/>
            <w:szCs w:val="20"/>
            <w:shd w:val="clear" w:color="auto" w:fill="FFFF99"/>
            <w:rtl/>
          </w:rPr>
          <w:t>ק</w:t>
        </w:r>
        <w:r w:rsidRPr="00411824">
          <w:rPr>
            <w:rStyle w:val="Hyperlink"/>
            <w:rFonts w:cs="FrankRuehl"/>
            <w:vanish/>
            <w:szCs w:val="20"/>
            <w:shd w:val="clear" w:color="auto" w:fill="FFFF99"/>
            <w:rtl/>
          </w:rPr>
          <w:t>"</w:t>
        </w:r>
        <w:r w:rsidRPr="00411824">
          <w:rPr>
            <w:rStyle w:val="Hyperlink"/>
            <w:rFonts w:cs="FrankRuehl" w:hint="cs"/>
            <w:vanish/>
            <w:szCs w:val="20"/>
            <w:shd w:val="clear" w:color="auto" w:fill="FFFF99"/>
            <w:rtl/>
          </w:rPr>
          <w:t>ת</w:t>
        </w:r>
        <w:r w:rsidRPr="00411824">
          <w:rPr>
            <w:rStyle w:val="Hyperlink"/>
            <w:rFonts w:cs="FrankRuehl"/>
            <w:vanish/>
            <w:szCs w:val="20"/>
            <w:shd w:val="clear" w:color="auto" w:fill="FFFF99"/>
            <w:rtl/>
          </w:rPr>
          <w:t xml:space="preserve"> ת</w:t>
        </w:r>
        <w:r w:rsidRPr="00411824">
          <w:rPr>
            <w:rStyle w:val="Hyperlink"/>
            <w:rFonts w:cs="FrankRuehl" w:hint="cs"/>
            <w:vanish/>
            <w:szCs w:val="20"/>
            <w:shd w:val="clear" w:color="auto" w:fill="FFFF99"/>
            <w:rtl/>
          </w:rPr>
          <w:t>שנ"ט מס' 5940</w:t>
        </w:r>
      </w:hyperlink>
      <w:r w:rsidRPr="00411824">
        <w:rPr>
          <w:rFonts w:cs="FrankRuehl" w:hint="cs"/>
          <w:vanish/>
          <w:szCs w:val="20"/>
          <w:shd w:val="clear" w:color="auto" w:fill="FFFF99"/>
          <w:rtl/>
        </w:rPr>
        <w:t xml:space="preserve"> מיום 8.12.1998 עמ' 228</w:t>
      </w:r>
    </w:p>
    <w:p w14:paraId="4E7F5D62" w14:textId="77777777" w:rsidR="00102029" w:rsidRPr="00411824" w:rsidRDefault="00102029" w:rsidP="00B36CD7">
      <w:pPr>
        <w:pStyle w:val="P00"/>
        <w:ind w:left="0" w:right="1134"/>
        <w:rPr>
          <w:rStyle w:val="default"/>
          <w:rFonts w:cs="FrankRuehl"/>
          <w:vanish/>
          <w:sz w:val="22"/>
          <w:szCs w:val="22"/>
          <w:shd w:val="clear" w:color="auto" w:fill="FFFF99"/>
          <w:rtl/>
        </w:rPr>
      </w:pPr>
      <w:r w:rsidRPr="00411824">
        <w:rPr>
          <w:rStyle w:val="big-number"/>
          <w:rFonts w:cs="FrankRuehl"/>
          <w:vanish/>
          <w:sz w:val="22"/>
          <w:szCs w:val="22"/>
          <w:shd w:val="clear" w:color="auto" w:fill="FFFF99"/>
          <w:rtl/>
        </w:rPr>
        <w:t>1.</w:t>
      </w:r>
      <w:r w:rsidRPr="00411824">
        <w:rPr>
          <w:rStyle w:val="big-number"/>
          <w:rFonts w:cs="FrankRuehl"/>
          <w:vanish/>
          <w:sz w:val="22"/>
          <w:szCs w:val="22"/>
          <w:shd w:val="clear" w:color="auto" w:fill="FFFF99"/>
          <w:rtl/>
        </w:rPr>
        <w:tab/>
      </w:r>
      <w:r w:rsidRPr="00411824">
        <w:rPr>
          <w:rStyle w:val="default"/>
          <w:rFonts w:cs="FrankRuehl"/>
          <w:vanish/>
          <w:sz w:val="22"/>
          <w:szCs w:val="22"/>
          <w:shd w:val="clear" w:color="auto" w:fill="FFFF99"/>
          <w:rtl/>
        </w:rPr>
        <w:t>כל</w:t>
      </w:r>
      <w:r w:rsidRPr="00411824">
        <w:rPr>
          <w:rStyle w:val="default"/>
          <w:rFonts w:cs="FrankRuehl" w:hint="cs"/>
          <w:vanish/>
          <w:sz w:val="22"/>
          <w:szCs w:val="22"/>
          <w:shd w:val="clear" w:color="auto" w:fill="FFFF99"/>
          <w:rtl/>
        </w:rPr>
        <w:t xml:space="preserve"> אחת מהעבירות המפורטות להלן, נקבעת בזה כעבירה שיש בה כדי לערער מהימנותו של קבלן לעבודות הנדסה בנאיות, אם הוא נידון עליה לשלושה חודשי מאסר</w:t>
      </w:r>
      <w:r w:rsidR="002240C3" w:rsidRPr="00411824">
        <w:rPr>
          <w:rStyle w:val="default"/>
          <w:rFonts w:cs="FrankRuehl" w:hint="cs"/>
          <w:vanish/>
          <w:sz w:val="22"/>
          <w:szCs w:val="22"/>
          <w:shd w:val="clear" w:color="auto" w:fill="FFFF99"/>
          <w:rtl/>
        </w:rPr>
        <w:t xml:space="preserve"> </w:t>
      </w:r>
      <w:r w:rsidR="007F01EE" w:rsidRPr="00411824">
        <w:rPr>
          <w:rStyle w:val="default"/>
          <w:rFonts w:cs="FrankRuehl" w:hint="cs"/>
          <w:strike/>
          <w:vanish/>
          <w:sz w:val="22"/>
          <w:szCs w:val="22"/>
          <w:shd w:val="clear" w:color="auto" w:fill="FFFF99"/>
          <w:rtl/>
        </w:rPr>
        <w:t>או לקנס של לפחות 1,000 שקלים חדשים</w:t>
      </w:r>
      <w:r w:rsidRPr="00411824">
        <w:rPr>
          <w:rStyle w:val="default"/>
          <w:rFonts w:cs="FrankRuehl" w:hint="cs"/>
          <w:vanish/>
          <w:sz w:val="22"/>
          <w:szCs w:val="22"/>
          <w:shd w:val="clear" w:color="auto" w:fill="FFFF99"/>
          <w:rtl/>
        </w:rPr>
        <w:t xml:space="preserve"> </w:t>
      </w:r>
      <w:r w:rsidRPr="00411824">
        <w:rPr>
          <w:rStyle w:val="default"/>
          <w:rFonts w:cs="FrankRuehl" w:hint="cs"/>
          <w:vanish/>
          <w:sz w:val="22"/>
          <w:szCs w:val="22"/>
          <w:u w:val="single"/>
          <w:shd w:val="clear" w:color="auto" w:fill="FFFF99"/>
          <w:rtl/>
        </w:rPr>
        <w:t xml:space="preserve">או מחצית הקנס הקבוע בסעיף 61(א)(1) לחוק העונשין, </w:t>
      </w:r>
      <w:r w:rsidR="007C0E32" w:rsidRPr="00411824">
        <w:rPr>
          <w:rStyle w:val="default"/>
          <w:rFonts w:cs="FrankRuehl" w:hint="cs"/>
          <w:vanish/>
          <w:sz w:val="22"/>
          <w:szCs w:val="22"/>
          <w:u w:val="single"/>
          <w:shd w:val="clear" w:color="auto" w:fill="FFFF99"/>
          <w:rtl/>
        </w:rPr>
        <w:t>ה</w:t>
      </w:r>
      <w:r w:rsidRPr="00411824">
        <w:rPr>
          <w:rStyle w:val="default"/>
          <w:rFonts w:cs="FrankRuehl" w:hint="cs"/>
          <w:vanish/>
          <w:sz w:val="22"/>
          <w:szCs w:val="22"/>
          <w:u w:val="single"/>
          <w:shd w:val="clear" w:color="auto" w:fill="FFFF99"/>
          <w:rtl/>
        </w:rPr>
        <w:t>תשל"ז-1977, לפחות</w:t>
      </w:r>
      <w:r w:rsidRPr="00411824">
        <w:rPr>
          <w:rStyle w:val="default"/>
          <w:rFonts w:cs="FrankRuehl"/>
          <w:vanish/>
          <w:sz w:val="22"/>
          <w:szCs w:val="22"/>
          <w:shd w:val="clear" w:color="auto" w:fill="FFFF99"/>
          <w:rtl/>
        </w:rPr>
        <w:t xml:space="preserve"> ו</w:t>
      </w:r>
      <w:r w:rsidRPr="00411824">
        <w:rPr>
          <w:rStyle w:val="default"/>
          <w:rFonts w:cs="FrankRuehl" w:hint="cs"/>
          <w:vanish/>
          <w:sz w:val="22"/>
          <w:szCs w:val="22"/>
          <w:shd w:val="clear" w:color="auto" w:fill="FFFF99"/>
          <w:rtl/>
        </w:rPr>
        <w:t>מעלה:</w:t>
      </w:r>
    </w:p>
    <w:p w14:paraId="072E5DE9"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א.</w:t>
      </w:r>
      <w:r w:rsidRPr="00411824">
        <w:rPr>
          <w:rStyle w:val="default"/>
          <w:rFonts w:cs="FrankRuehl"/>
          <w:vanish/>
          <w:sz w:val="22"/>
          <w:szCs w:val="22"/>
          <w:shd w:val="clear" w:color="auto" w:fill="FFFF99"/>
          <w:rtl/>
        </w:rPr>
        <w:tab/>
        <w:t>כ</w:t>
      </w:r>
      <w:r w:rsidRPr="00411824">
        <w:rPr>
          <w:rStyle w:val="default"/>
          <w:rFonts w:cs="FrankRuehl" w:hint="cs"/>
          <w:vanish/>
          <w:sz w:val="22"/>
          <w:szCs w:val="22"/>
          <w:shd w:val="clear" w:color="auto" w:fill="FFFF99"/>
          <w:rtl/>
        </w:rPr>
        <w:t>ל עבירה שהיא עוון או פשע לפי חוק העונשי</w:t>
      </w:r>
      <w:r w:rsidRPr="00411824">
        <w:rPr>
          <w:rStyle w:val="default"/>
          <w:rFonts w:cs="FrankRuehl"/>
          <w:vanish/>
          <w:sz w:val="22"/>
          <w:szCs w:val="22"/>
          <w:shd w:val="clear" w:color="auto" w:fill="FFFF99"/>
          <w:rtl/>
        </w:rPr>
        <w:t>ן</w:t>
      </w:r>
      <w:r w:rsidRPr="00411824">
        <w:rPr>
          <w:rStyle w:val="default"/>
          <w:rFonts w:cs="FrankRuehl" w:hint="cs"/>
          <w:vanish/>
          <w:sz w:val="22"/>
          <w:szCs w:val="22"/>
          <w:shd w:val="clear" w:color="auto" w:fill="FFFF99"/>
          <w:rtl/>
        </w:rPr>
        <w:t xml:space="preserve">, </w:t>
      </w:r>
      <w:r w:rsidR="0063159B" w:rsidRPr="00411824">
        <w:rPr>
          <w:rStyle w:val="default"/>
          <w:rFonts w:cs="FrankRuehl" w:hint="cs"/>
          <w:vanish/>
          <w:sz w:val="22"/>
          <w:szCs w:val="22"/>
          <w:shd w:val="clear" w:color="auto" w:fill="FFFF99"/>
          <w:rtl/>
        </w:rPr>
        <w:t>ה</w:t>
      </w:r>
      <w:r w:rsidRPr="00411824">
        <w:rPr>
          <w:rStyle w:val="default"/>
          <w:rFonts w:cs="FrankRuehl" w:hint="cs"/>
          <w:vanish/>
          <w:sz w:val="22"/>
          <w:szCs w:val="22"/>
          <w:shd w:val="clear" w:color="auto" w:fill="FFFF99"/>
          <w:rtl/>
        </w:rPr>
        <w:t>תשל"ז-</w:t>
      </w:r>
      <w:r w:rsidR="00FA5241" w:rsidRPr="00411824">
        <w:rPr>
          <w:rStyle w:val="default"/>
          <w:rFonts w:cs="FrankRuehl" w:hint="cs"/>
          <w:vanish/>
          <w:sz w:val="22"/>
          <w:szCs w:val="22"/>
          <w:shd w:val="clear" w:color="auto" w:fill="FFFF99"/>
          <w:rtl/>
        </w:rPr>
        <w:t>1</w:t>
      </w:r>
      <w:r w:rsidRPr="00411824">
        <w:rPr>
          <w:rStyle w:val="default"/>
          <w:rFonts w:cs="FrankRuehl"/>
          <w:vanish/>
          <w:sz w:val="22"/>
          <w:szCs w:val="22"/>
          <w:shd w:val="clear" w:color="auto" w:fill="FFFF99"/>
          <w:rtl/>
        </w:rPr>
        <w:t>977;</w:t>
      </w:r>
    </w:p>
    <w:p w14:paraId="18D556F0"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ב.</w:t>
      </w:r>
      <w:r w:rsidRPr="00411824">
        <w:rPr>
          <w:rStyle w:val="default"/>
          <w:rFonts w:cs="FrankRuehl"/>
          <w:vanish/>
          <w:sz w:val="22"/>
          <w:szCs w:val="22"/>
          <w:shd w:val="clear" w:color="auto" w:fill="FFFF99"/>
          <w:rtl/>
        </w:rPr>
        <w:tab/>
        <w:t>ע</w:t>
      </w:r>
      <w:r w:rsidRPr="00411824">
        <w:rPr>
          <w:rStyle w:val="default"/>
          <w:rFonts w:cs="FrankRuehl" w:hint="cs"/>
          <w:vanish/>
          <w:sz w:val="22"/>
          <w:szCs w:val="22"/>
          <w:shd w:val="clear" w:color="auto" w:fill="FFFF99"/>
          <w:rtl/>
        </w:rPr>
        <w:t>בירות לפי פקודת המכרות;</w:t>
      </w:r>
    </w:p>
    <w:p w14:paraId="4B74FDDE"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ג.</w:t>
      </w:r>
      <w:r w:rsidRPr="00411824">
        <w:rPr>
          <w:rStyle w:val="default"/>
          <w:rFonts w:cs="FrankRuehl"/>
          <w:vanish/>
          <w:sz w:val="22"/>
          <w:szCs w:val="22"/>
          <w:shd w:val="clear" w:color="auto" w:fill="FFFF99"/>
          <w:rtl/>
        </w:rPr>
        <w:tab/>
        <w:t>ע</w:t>
      </w:r>
      <w:r w:rsidRPr="00411824">
        <w:rPr>
          <w:rStyle w:val="default"/>
          <w:rFonts w:cs="FrankRuehl" w:hint="cs"/>
          <w:vanish/>
          <w:sz w:val="22"/>
          <w:szCs w:val="22"/>
          <w:shd w:val="clear" w:color="auto" w:fill="FFFF99"/>
          <w:rtl/>
        </w:rPr>
        <w:t>בירות לפי פקודת הבטיחות בעבודה [נוסח חדש],</w:t>
      </w:r>
      <w:r w:rsidRPr="00411824">
        <w:rPr>
          <w:rStyle w:val="default"/>
          <w:rFonts w:cs="FrankRuehl"/>
          <w:vanish/>
          <w:sz w:val="22"/>
          <w:szCs w:val="22"/>
          <w:shd w:val="clear" w:color="auto" w:fill="FFFF99"/>
          <w:rtl/>
        </w:rPr>
        <w:t xml:space="preserve"> </w:t>
      </w:r>
      <w:r w:rsidR="0063159B" w:rsidRPr="00411824">
        <w:rPr>
          <w:rStyle w:val="default"/>
          <w:rFonts w:cs="FrankRuehl" w:hint="cs"/>
          <w:vanish/>
          <w:sz w:val="22"/>
          <w:szCs w:val="22"/>
          <w:shd w:val="clear" w:color="auto" w:fill="FFFF99"/>
          <w:rtl/>
        </w:rPr>
        <w:t>ה</w:t>
      </w:r>
      <w:r w:rsidRPr="00411824">
        <w:rPr>
          <w:rStyle w:val="default"/>
          <w:rFonts w:cs="FrankRuehl"/>
          <w:vanish/>
          <w:sz w:val="22"/>
          <w:szCs w:val="22"/>
          <w:shd w:val="clear" w:color="auto" w:fill="FFFF99"/>
          <w:rtl/>
        </w:rPr>
        <w:t>ת</w:t>
      </w:r>
      <w:r w:rsidRPr="00411824">
        <w:rPr>
          <w:rStyle w:val="default"/>
          <w:rFonts w:cs="FrankRuehl" w:hint="cs"/>
          <w:vanish/>
          <w:sz w:val="22"/>
          <w:szCs w:val="22"/>
          <w:shd w:val="clear" w:color="auto" w:fill="FFFF99"/>
          <w:rtl/>
        </w:rPr>
        <w:t>ש"ל-1970;</w:t>
      </w:r>
    </w:p>
    <w:p w14:paraId="623C0ED4"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ד.</w:t>
      </w:r>
      <w:r w:rsidRPr="00411824">
        <w:rPr>
          <w:rStyle w:val="default"/>
          <w:rFonts w:cs="FrankRuehl"/>
          <w:vanish/>
          <w:sz w:val="22"/>
          <w:szCs w:val="22"/>
          <w:shd w:val="clear" w:color="auto" w:fill="FFFF99"/>
          <w:rtl/>
        </w:rPr>
        <w:tab/>
        <w:t>ע</w:t>
      </w:r>
      <w:r w:rsidRPr="00411824">
        <w:rPr>
          <w:rStyle w:val="default"/>
          <w:rFonts w:cs="FrankRuehl" w:hint="cs"/>
          <w:vanish/>
          <w:sz w:val="22"/>
          <w:szCs w:val="22"/>
          <w:shd w:val="clear" w:color="auto" w:fill="FFFF99"/>
          <w:rtl/>
        </w:rPr>
        <w:t xml:space="preserve">בירות לפי חוק רישום קבלנים לעבודות הנדסה בנאיות, </w:t>
      </w:r>
      <w:r w:rsidR="0063159B" w:rsidRPr="00411824">
        <w:rPr>
          <w:rStyle w:val="default"/>
          <w:rFonts w:cs="FrankRuehl" w:hint="cs"/>
          <w:vanish/>
          <w:sz w:val="22"/>
          <w:szCs w:val="22"/>
          <w:shd w:val="clear" w:color="auto" w:fill="FFFF99"/>
          <w:rtl/>
        </w:rPr>
        <w:t>ה</w:t>
      </w:r>
      <w:r w:rsidRPr="00411824">
        <w:rPr>
          <w:rStyle w:val="default"/>
          <w:rFonts w:cs="FrankRuehl" w:hint="cs"/>
          <w:vanish/>
          <w:sz w:val="22"/>
          <w:szCs w:val="22"/>
          <w:shd w:val="clear" w:color="auto" w:fill="FFFF99"/>
          <w:rtl/>
        </w:rPr>
        <w:t>תשכ"ט-1969;</w:t>
      </w:r>
    </w:p>
    <w:p w14:paraId="3511CB69"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ה.</w:t>
      </w:r>
      <w:r w:rsidRPr="00411824">
        <w:rPr>
          <w:rStyle w:val="default"/>
          <w:rFonts w:cs="FrankRuehl"/>
          <w:vanish/>
          <w:sz w:val="22"/>
          <w:szCs w:val="22"/>
          <w:shd w:val="clear" w:color="auto" w:fill="FFFF99"/>
          <w:rtl/>
        </w:rPr>
        <w:tab/>
        <w:t>ע</w:t>
      </w:r>
      <w:r w:rsidRPr="00411824">
        <w:rPr>
          <w:rStyle w:val="default"/>
          <w:rFonts w:cs="FrankRuehl" w:hint="cs"/>
          <w:vanish/>
          <w:sz w:val="22"/>
          <w:szCs w:val="22"/>
          <w:shd w:val="clear" w:color="auto" w:fill="FFFF99"/>
          <w:rtl/>
        </w:rPr>
        <w:t>בירות לפי חוק המכ</w:t>
      </w:r>
      <w:r w:rsidRPr="00411824">
        <w:rPr>
          <w:rStyle w:val="default"/>
          <w:rFonts w:cs="FrankRuehl"/>
          <w:vanish/>
          <w:sz w:val="22"/>
          <w:szCs w:val="22"/>
          <w:shd w:val="clear" w:color="auto" w:fill="FFFF99"/>
          <w:rtl/>
        </w:rPr>
        <w:t>ר (</w:t>
      </w:r>
      <w:r w:rsidRPr="00411824">
        <w:rPr>
          <w:rStyle w:val="default"/>
          <w:rFonts w:cs="FrankRuehl" w:hint="cs"/>
          <w:vanish/>
          <w:sz w:val="22"/>
          <w:szCs w:val="22"/>
          <w:shd w:val="clear" w:color="auto" w:fill="FFFF99"/>
          <w:rtl/>
        </w:rPr>
        <w:t xml:space="preserve">דירות), </w:t>
      </w:r>
      <w:r w:rsidR="00946A9D" w:rsidRPr="00411824">
        <w:rPr>
          <w:rStyle w:val="default"/>
          <w:rFonts w:cs="FrankRuehl" w:hint="cs"/>
          <w:vanish/>
          <w:sz w:val="22"/>
          <w:szCs w:val="22"/>
          <w:shd w:val="clear" w:color="auto" w:fill="FFFF99"/>
          <w:rtl/>
        </w:rPr>
        <w:t>ה</w:t>
      </w:r>
      <w:r w:rsidRPr="00411824">
        <w:rPr>
          <w:rStyle w:val="default"/>
          <w:rFonts w:cs="FrankRuehl" w:hint="cs"/>
          <w:vanish/>
          <w:sz w:val="22"/>
          <w:szCs w:val="22"/>
          <w:shd w:val="clear" w:color="auto" w:fill="FFFF99"/>
          <w:rtl/>
        </w:rPr>
        <w:t>תשל"ג- 1973;</w:t>
      </w:r>
    </w:p>
    <w:p w14:paraId="06B5404F"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ו.</w:t>
      </w:r>
      <w:r w:rsidRPr="00411824">
        <w:rPr>
          <w:rStyle w:val="default"/>
          <w:rFonts w:cs="FrankRuehl"/>
          <w:vanish/>
          <w:sz w:val="22"/>
          <w:szCs w:val="22"/>
          <w:shd w:val="clear" w:color="auto" w:fill="FFFF99"/>
          <w:rtl/>
        </w:rPr>
        <w:tab/>
        <w:t>ע</w:t>
      </w:r>
      <w:r w:rsidRPr="00411824">
        <w:rPr>
          <w:rStyle w:val="default"/>
          <w:rFonts w:cs="FrankRuehl" w:hint="cs"/>
          <w:vanish/>
          <w:sz w:val="22"/>
          <w:szCs w:val="22"/>
          <w:shd w:val="clear" w:color="auto" w:fill="FFFF99"/>
          <w:rtl/>
        </w:rPr>
        <w:t xml:space="preserve">בירות לפי חוק המכר (דירות) (הבטחת השקעות של רוכשי דירות), </w:t>
      </w:r>
      <w:r w:rsidR="0063159B" w:rsidRPr="00411824">
        <w:rPr>
          <w:rStyle w:val="default"/>
          <w:rFonts w:cs="FrankRuehl" w:hint="cs"/>
          <w:vanish/>
          <w:sz w:val="22"/>
          <w:szCs w:val="22"/>
          <w:shd w:val="clear" w:color="auto" w:fill="FFFF99"/>
          <w:rtl/>
        </w:rPr>
        <w:t>ה</w:t>
      </w:r>
      <w:r w:rsidRPr="00411824">
        <w:rPr>
          <w:rStyle w:val="default"/>
          <w:rFonts w:cs="FrankRuehl" w:hint="cs"/>
          <w:vanish/>
          <w:sz w:val="22"/>
          <w:szCs w:val="22"/>
          <w:shd w:val="clear" w:color="auto" w:fill="FFFF99"/>
          <w:rtl/>
        </w:rPr>
        <w:t>תשל"ה-1974;</w:t>
      </w:r>
    </w:p>
    <w:p w14:paraId="7270BCE9"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ז.</w:t>
      </w:r>
      <w:r w:rsidRPr="00411824">
        <w:rPr>
          <w:rStyle w:val="default"/>
          <w:rFonts w:cs="FrankRuehl"/>
          <w:vanish/>
          <w:sz w:val="22"/>
          <w:szCs w:val="22"/>
          <w:shd w:val="clear" w:color="auto" w:fill="FFFF99"/>
          <w:rtl/>
        </w:rPr>
        <w:tab/>
        <w:t>ע</w:t>
      </w:r>
      <w:r w:rsidRPr="00411824">
        <w:rPr>
          <w:rStyle w:val="default"/>
          <w:rFonts w:cs="FrankRuehl" w:hint="cs"/>
          <w:vanish/>
          <w:sz w:val="22"/>
          <w:szCs w:val="22"/>
          <w:shd w:val="clear" w:color="auto" w:fill="FFFF99"/>
          <w:rtl/>
        </w:rPr>
        <w:t xml:space="preserve">בירות לפי חוק שיקים ללא כיסוי, </w:t>
      </w:r>
      <w:r w:rsidR="0063159B" w:rsidRPr="00411824">
        <w:rPr>
          <w:rStyle w:val="default"/>
          <w:rFonts w:cs="FrankRuehl" w:hint="cs"/>
          <w:vanish/>
          <w:sz w:val="22"/>
          <w:szCs w:val="22"/>
          <w:shd w:val="clear" w:color="auto" w:fill="FFFF99"/>
          <w:rtl/>
        </w:rPr>
        <w:t>ה</w:t>
      </w:r>
      <w:r w:rsidRPr="00411824">
        <w:rPr>
          <w:rStyle w:val="default"/>
          <w:rFonts w:cs="FrankRuehl" w:hint="cs"/>
          <w:vanish/>
          <w:sz w:val="22"/>
          <w:szCs w:val="22"/>
          <w:shd w:val="clear" w:color="auto" w:fill="FFFF99"/>
          <w:rtl/>
        </w:rPr>
        <w:t>תשמ"א-1981;</w:t>
      </w:r>
    </w:p>
    <w:p w14:paraId="6A0C28E8" w14:textId="77777777" w:rsidR="00102029" w:rsidRPr="00411824" w:rsidRDefault="00102029" w:rsidP="00B36CD7">
      <w:pPr>
        <w:pStyle w:val="P03"/>
        <w:spacing w:before="0"/>
        <w:ind w:left="1021" w:right="1134" w:hanging="397"/>
        <w:rPr>
          <w:rStyle w:val="default"/>
          <w:rFonts w:cs="FrankRuehl"/>
          <w:vanish/>
          <w:sz w:val="22"/>
          <w:szCs w:val="22"/>
          <w:shd w:val="clear" w:color="auto" w:fill="FFFF99"/>
          <w:rtl/>
        </w:rPr>
      </w:pPr>
      <w:r w:rsidRPr="00411824">
        <w:rPr>
          <w:rStyle w:val="default"/>
          <w:rFonts w:cs="FrankRuehl"/>
          <w:vanish/>
          <w:sz w:val="22"/>
          <w:szCs w:val="22"/>
          <w:shd w:val="clear" w:color="auto" w:fill="FFFF99"/>
          <w:rtl/>
        </w:rPr>
        <w:t>ח.</w:t>
      </w:r>
      <w:r w:rsidRPr="00411824">
        <w:rPr>
          <w:rStyle w:val="default"/>
          <w:rFonts w:cs="FrankRuehl"/>
          <w:vanish/>
          <w:sz w:val="22"/>
          <w:szCs w:val="22"/>
          <w:shd w:val="clear" w:color="auto" w:fill="FFFF99"/>
          <w:rtl/>
        </w:rPr>
        <w:tab/>
        <w:t>ע</w:t>
      </w:r>
      <w:r w:rsidRPr="00411824">
        <w:rPr>
          <w:rStyle w:val="default"/>
          <w:rFonts w:cs="FrankRuehl" w:hint="cs"/>
          <w:vanish/>
          <w:sz w:val="22"/>
          <w:szCs w:val="22"/>
          <w:shd w:val="clear" w:color="auto" w:fill="FFFF99"/>
          <w:rtl/>
        </w:rPr>
        <w:t>בירות לפי פרק י' לחוק התכנון והבניה;</w:t>
      </w:r>
    </w:p>
    <w:p w14:paraId="6F8A4CA1" w14:textId="77777777" w:rsidR="00102029" w:rsidRPr="00F32029" w:rsidRDefault="00102029" w:rsidP="00B36CD7">
      <w:pPr>
        <w:pStyle w:val="P03"/>
        <w:spacing w:before="0"/>
        <w:ind w:left="1021" w:right="1134" w:hanging="397"/>
        <w:rPr>
          <w:rStyle w:val="default"/>
          <w:rFonts w:cs="FrankRuehl" w:hint="cs"/>
          <w:sz w:val="2"/>
          <w:szCs w:val="2"/>
          <w:u w:val="single"/>
          <w:rtl/>
        </w:rPr>
      </w:pPr>
      <w:r w:rsidRPr="00411824">
        <w:rPr>
          <w:rStyle w:val="default"/>
          <w:rFonts w:cs="FrankRuehl"/>
          <w:vanish/>
          <w:sz w:val="22"/>
          <w:szCs w:val="22"/>
          <w:u w:val="single"/>
          <w:shd w:val="clear" w:color="auto" w:fill="FFFF99"/>
          <w:rtl/>
        </w:rPr>
        <w:t>ט.</w:t>
      </w:r>
      <w:r w:rsidRPr="00411824">
        <w:rPr>
          <w:rStyle w:val="default"/>
          <w:rFonts w:cs="FrankRuehl"/>
          <w:vanish/>
          <w:sz w:val="22"/>
          <w:szCs w:val="22"/>
          <w:u w:val="single"/>
          <w:shd w:val="clear" w:color="auto" w:fill="FFFF99"/>
          <w:rtl/>
        </w:rPr>
        <w:tab/>
        <w:t>ע</w:t>
      </w:r>
      <w:r w:rsidRPr="00411824">
        <w:rPr>
          <w:rStyle w:val="default"/>
          <w:rFonts w:cs="FrankRuehl" w:hint="cs"/>
          <w:vanish/>
          <w:sz w:val="22"/>
          <w:szCs w:val="22"/>
          <w:u w:val="single"/>
          <w:shd w:val="clear" w:color="auto" w:fill="FFFF99"/>
          <w:rtl/>
        </w:rPr>
        <w:t xml:space="preserve">בירה לפי סעיף 2 לחוק עובדים זרים (העסקה שלא כדין), </w:t>
      </w:r>
      <w:r w:rsidR="00B96BD7" w:rsidRPr="00411824">
        <w:rPr>
          <w:rStyle w:val="default"/>
          <w:rFonts w:cs="FrankRuehl" w:hint="cs"/>
          <w:vanish/>
          <w:sz w:val="22"/>
          <w:szCs w:val="22"/>
          <w:u w:val="single"/>
          <w:shd w:val="clear" w:color="auto" w:fill="FFFF99"/>
          <w:rtl/>
        </w:rPr>
        <w:t>ה</w:t>
      </w:r>
      <w:r w:rsidRPr="00411824">
        <w:rPr>
          <w:rStyle w:val="default"/>
          <w:rFonts w:cs="FrankRuehl" w:hint="cs"/>
          <w:vanish/>
          <w:sz w:val="22"/>
          <w:szCs w:val="22"/>
          <w:u w:val="single"/>
          <w:shd w:val="clear" w:color="auto" w:fill="FFFF99"/>
          <w:rtl/>
        </w:rPr>
        <w:t>תשנ"</w:t>
      </w:r>
      <w:r w:rsidRPr="00411824">
        <w:rPr>
          <w:rStyle w:val="default"/>
          <w:rFonts w:cs="FrankRuehl"/>
          <w:vanish/>
          <w:sz w:val="22"/>
          <w:szCs w:val="22"/>
          <w:u w:val="single"/>
          <w:shd w:val="clear" w:color="auto" w:fill="FFFF99"/>
          <w:rtl/>
        </w:rPr>
        <w:t>א-1991.</w:t>
      </w:r>
      <w:bookmarkEnd w:id="1"/>
    </w:p>
    <w:p w14:paraId="27AAC276" w14:textId="77777777" w:rsidR="00E64371" w:rsidRDefault="00E64371">
      <w:pPr>
        <w:pStyle w:val="P00"/>
        <w:spacing w:before="72"/>
        <w:ind w:left="0" w:right="1134"/>
        <w:rPr>
          <w:rStyle w:val="default"/>
          <w:rFonts w:cs="FrankRuehl"/>
          <w:rtl/>
        </w:rPr>
      </w:pPr>
      <w:bookmarkStart w:id="2" w:name="Seif2"/>
      <w:bookmarkEnd w:id="2"/>
      <w:r>
        <w:rPr>
          <w:lang w:val="he-IL"/>
        </w:rPr>
        <w:pict w14:anchorId="3B9069AA">
          <v:rect id="_x0000_s1028" style="position:absolute;left:0;text-align:left;margin-left:464.5pt;margin-top:8.05pt;width:75.05pt;height:10pt;z-index:251656704" o:allowincell="f" filled="f" stroked="f" strokecolor="lime" strokeweight=".25pt">
            <v:textbox inset="0,0,0,0">
              <w:txbxContent>
                <w:p w14:paraId="55C22DE7" w14:textId="77777777" w:rsidR="00E64371" w:rsidRDefault="00E64371">
                  <w:pPr>
                    <w:spacing w:line="160" w:lineRule="exact"/>
                    <w:jc w:val="left"/>
                    <w:rPr>
                      <w:rFonts w:cs="Miriam"/>
                      <w:noProof/>
                      <w:sz w:val="18"/>
                      <w:szCs w:val="18"/>
                      <w:rtl/>
                    </w:rPr>
                  </w:pPr>
                  <w:r>
                    <w:rPr>
                      <w:rFonts w:cs="Miriam"/>
                      <w:sz w:val="18"/>
                      <w:szCs w:val="18"/>
                      <w:rtl/>
                    </w:rPr>
                    <w:t>הנ</w:t>
                  </w:r>
                  <w:r>
                    <w:rPr>
                      <w:rFonts w:cs="Miriam" w:hint="cs"/>
                      <w:sz w:val="18"/>
                      <w:szCs w:val="18"/>
                      <w:rtl/>
                    </w:rPr>
                    <w:t>והג המקובל</w:t>
                  </w:r>
                </w:p>
              </w:txbxContent>
            </v:textbox>
            <w10:anchorlock/>
          </v:rect>
        </w:pict>
      </w:r>
      <w:r>
        <w:rPr>
          <w:rStyle w:val="big-number"/>
          <w:rFonts w:cs="Miriam"/>
          <w:rtl/>
        </w:rPr>
        <w:t>2.</w:t>
      </w:r>
      <w:r>
        <w:rPr>
          <w:rStyle w:val="big-number"/>
          <w:rFonts w:cs="Miriam"/>
          <w:rtl/>
        </w:rPr>
        <w:tab/>
      </w:r>
      <w:r>
        <w:rPr>
          <w:rStyle w:val="default"/>
          <w:rFonts w:cs="FrankRuehl"/>
          <w:rtl/>
        </w:rPr>
        <w:t>הנ</w:t>
      </w:r>
      <w:r>
        <w:rPr>
          <w:rStyle w:val="default"/>
          <w:rFonts w:cs="FrankRuehl" w:hint="cs"/>
          <w:rtl/>
        </w:rPr>
        <w:t>והג ה</w:t>
      </w:r>
      <w:r>
        <w:rPr>
          <w:rStyle w:val="default"/>
          <w:rFonts w:cs="FrankRuehl"/>
          <w:rtl/>
        </w:rPr>
        <w:t>מ</w:t>
      </w:r>
      <w:r>
        <w:rPr>
          <w:rStyle w:val="default"/>
          <w:rFonts w:cs="FrankRuehl" w:hint="cs"/>
          <w:rtl/>
        </w:rPr>
        <w:t>קובל במקצועו של קבלן לעבודות הנדסה בנאיות הוא:</w:t>
      </w:r>
    </w:p>
    <w:p w14:paraId="5CF2FA03" w14:textId="77777777" w:rsidR="00E64371" w:rsidRDefault="00E64371" w:rsidP="00B36CD7">
      <w:pPr>
        <w:pStyle w:val="P03"/>
        <w:spacing w:before="72"/>
        <w:ind w:left="1021" w:right="1134" w:hanging="397"/>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בלן אינו מפר חוזים לביצוע עבודה;</w:t>
      </w:r>
    </w:p>
    <w:p w14:paraId="706E3A6D" w14:textId="77777777" w:rsidR="00E64371" w:rsidRDefault="00E64371" w:rsidP="00B36CD7">
      <w:pPr>
        <w:pStyle w:val="P03"/>
        <w:spacing w:before="72"/>
        <w:ind w:left="1021" w:right="1134" w:hanging="397"/>
        <w:rPr>
          <w:rStyle w:val="default"/>
          <w:rFonts w:cs="FrankRuehl"/>
          <w:rtl/>
        </w:rPr>
      </w:pPr>
      <w:r>
        <w:rPr>
          <w:rStyle w:val="default"/>
          <w:rFonts w:cs="FrankRuehl"/>
          <w:rtl/>
        </w:rPr>
        <w:t>2.</w:t>
      </w:r>
      <w:r>
        <w:rPr>
          <w:rStyle w:val="default"/>
          <w:rFonts w:cs="FrankRuehl"/>
          <w:rtl/>
        </w:rPr>
        <w:tab/>
        <w:t>ק</w:t>
      </w:r>
      <w:r>
        <w:rPr>
          <w:rStyle w:val="default"/>
          <w:rFonts w:cs="FrankRuehl" w:hint="cs"/>
          <w:rtl/>
        </w:rPr>
        <w:t>בלן אינו מפר חוזי מכר;</w:t>
      </w:r>
    </w:p>
    <w:p w14:paraId="4FC452AB" w14:textId="77777777" w:rsidR="00E64371" w:rsidRDefault="00E64371" w:rsidP="00B36CD7">
      <w:pPr>
        <w:pStyle w:val="P03"/>
        <w:spacing w:before="72"/>
        <w:ind w:left="1021" w:right="1134" w:hanging="397"/>
        <w:rPr>
          <w:rStyle w:val="default"/>
          <w:rFonts w:cs="FrankRuehl"/>
          <w:rtl/>
        </w:rPr>
      </w:pPr>
      <w:r>
        <w:rPr>
          <w:rStyle w:val="default"/>
          <w:rFonts w:cs="FrankRuehl"/>
          <w:rtl/>
        </w:rPr>
        <w:t>3.</w:t>
      </w:r>
      <w:r>
        <w:rPr>
          <w:rStyle w:val="default"/>
          <w:rFonts w:cs="FrankRuehl"/>
          <w:rtl/>
        </w:rPr>
        <w:tab/>
        <w:t>ק</w:t>
      </w:r>
      <w:r>
        <w:rPr>
          <w:rStyle w:val="default"/>
          <w:rFonts w:cs="FrankRuehl" w:hint="cs"/>
          <w:rtl/>
        </w:rPr>
        <w:t>בלן אינו עושה שימוש לרעה בחמרים שנמסרו לידיו מאת מזמין העבודה, והוא מחזיר למזמין העבודה עדפי חמרים שנותרו ברשותו;</w:t>
      </w:r>
    </w:p>
    <w:p w14:paraId="39A459B1" w14:textId="77777777" w:rsidR="00E64371" w:rsidRDefault="00E64371" w:rsidP="00B36CD7">
      <w:pPr>
        <w:pStyle w:val="P03"/>
        <w:spacing w:before="72"/>
        <w:ind w:left="1021" w:right="1134" w:hanging="397"/>
        <w:rPr>
          <w:rStyle w:val="default"/>
          <w:rFonts w:cs="FrankRuehl"/>
          <w:rtl/>
        </w:rPr>
      </w:pPr>
      <w:r>
        <w:rPr>
          <w:rStyle w:val="default"/>
          <w:rFonts w:cs="FrankRuehl"/>
          <w:rtl/>
        </w:rPr>
        <w:t>4.</w:t>
      </w:r>
      <w:r>
        <w:rPr>
          <w:rStyle w:val="default"/>
          <w:rFonts w:cs="FrankRuehl"/>
          <w:rtl/>
        </w:rPr>
        <w:tab/>
        <w:t>ק</w:t>
      </w:r>
      <w:r>
        <w:rPr>
          <w:rStyle w:val="default"/>
          <w:rFonts w:cs="FrankRuehl" w:hint="cs"/>
          <w:rtl/>
        </w:rPr>
        <w:t>בלן שזכה במכרז אי</w:t>
      </w:r>
      <w:r>
        <w:rPr>
          <w:rStyle w:val="default"/>
          <w:rFonts w:cs="FrankRuehl"/>
          <w:rtl/>
        </w:rPr>
        <w:t>נו</w:t>
      </w:r>
      <w:r>
        <w:rPr>
          <w:rStyle w:val="default"/>
          <w:rFonts w:cs="FrankRuehl" w:hint="cs"/>
          <w:rtl/>
        </w:rPr>
        <w:t xml:space="preserve"> חוזר בו מהצעתו, ל</w:t>
      </w:r>
      <w:r>
        <w:rPr>
          <w:rStyle w:val="default"/>
          <w:rFonts w:cs="FrankRuehl"/>
          <w:rtl/>
        </w:rPr>
        <w:t>א</w:t>
      </w:r>
      <w:r>
        <w:rPr>
          <w:rStyle w:val="default"/>
          <w:rFonts w:cs="FrankRuehl" w:hint="cs"/>
          <w:rtl/>
        </w:rPr>
        <w:t>חר שזו נתקבלה על ידי מזמין העבודה;</w:t>
      </w:r>
    </w:p>
    <w:p w14:paraId="7111A088" w14:textId="77777777" w:rsidR="00E64371" w:rsidRDefault="00E64371" w:rsidP="00B36CD7">
      <w:pPr>
        <w:pStyle w:val="P03"/>
        <w:spacing w:before="72"/>
        <w:ind w:left="1021" w:right="1134" w:hanging="397"/>
        <w:rPr>
          <w:rStyle w:val="default"/>
          <w:rFonts w:cs="FrankRuehl"/>
          <w:rtl/>
        </w:rPr>
      </w:pPr>
      <w:r>
        <w:rPr>
          <w:rStyle w:val="default"/>
          <w:rFonts w:cs="FrankRuehl"/>
          <w:rtl/>
        </w:rPr>
        <w:t>5.</w:t>
      </w:r>
      <w:r>
        <w:rPr>
          <w:rStyle w:val="default"/>
          <w:rFonts w:cs="FrankRuehl"/>
          <w:rtl/>
        </w:rPr>
        <w:tab/>
        <w:t>ק</w:t>
      </w:r>
      <w:r>
        <w:rPr>
          <w:rStyle w:val="default"/>
          <w:rFonts w:cs="FrankRuehl" w:hint="cs"/>
          <w:rtl/>
        </w:rPr>
        <w:t>בלן אינו גורם לכך שעבודה כלשהי שיש לתיתה על פי מכרז, תמסר לו או לאדם אחר שלא על פי מכרז;</w:t>
      </w:r>
    </w:p>
    <w:p w14:paraId="4C487B50" w14:textId="77777777" w:rsidR="00E64371" w:rsidRDefault="00E64371" w:rsidP="00B36CD7">
      <w:pPr>
        <w:pStyle w:val="P03"/>
        <w:spacing w:before="72"/>
        <w:ind w:left="1021" w:right="1134" w:hanging="397"/>
        <w:rPr>
          <w:rStyle w:val="default"/>
          <w:rFonts w:cs="FrankRuehl"/>
          <w:rtl/>
        </w:rPr>
      </w:pPr>
      <w:r>
        <w:rPr>
          <w:rStyle w:val="default"/>
          <w:rFonts w:cs="FrankRuehl"/>
          <w:rtl/>
        </w:rPr>
        <w:t>6.</w:t>
      </w:r>
      <w:r>
        <w:rPr>
          <w:rStyle w:val="default"/>
          <w:rFonts w:cs="FrankRuehl"/>
          <w:rtl/>
        </w:rPr>
        <w:tab/>
        <w:t>ק</w:t>
      </w:r>
      <w:r>
        <w:rPr>
          <w:rStyle w:val="default"/>
          <w:rFonts w:cs="FrankRuehl" w:hint="cs"/>
          <w:rtl/>
        </w:rPr>
        <w:t>בלן מבצע את העבודות ברמה ובטיב התואמים את התחייבויותיו החוזיות ואת הדרישות המקצועיות של הענף שבו הו</w:t>
      </w:r>
      <w:r>
        <w:rPr>
          <w:rStyle w:val="default"/>
          <w:rFonts w:cs="FrankRuehl"/>
          <w:rtl/>
        </w:rPr>
        <w:t xml:space="preserve">א </w:t>
      </w:r>
      <w:r>
        <w:rPr>
          <w:rStyle w:val="default"/>
          <w:rFonts w:cs="FrankRuehl" w:hint="cs"/>
          <w:rtl/>
        </w:rPr>
        <w:t>רשום בפנקס;</w:t>
      </w:r>
    </w:p>
    <w:p w14:paraId="13AF9A49" w14:textId="77777777" w:rsidR="00E64371" w:rsidRDefault="00E64371" w:rsidP="00B36CD7">
      <w:pPr>
        <w:pStyle w:val="P03"/>
        <w:spacing w:before="72"/>
        <w:ind w:left="1021" w:right="1134" w:hanging="397"/>
        <w:rPr>
          <w:rStyle w:val="default"/>
          <w:rFonts w:cs="FrankRuehl"/>
          <w:rtl/>
        </w:rPr>
      </w:pPr>
      <w:r>
        <w:rPr>
          <w:rStyle w:val="default"/>
          <w:rFonts w:cs="FrankRuehl"/>
          <w:rtl/>
        </w:rPr>
        <w:t>7.</w:t>
      </w:r>
      <w:r>
        <w:rPr>
          <w:rStyle w:val="default"/>
          <w:rFonts w:cs="FrankRuehl"/>
          <w:rtl/>
        </w:rPr>
        <w:tab/>
        <w:t>קב</w:t>
      </w:r>
      <w:r>
        <w:rPr>
          <w:rStyle w:val="default"/>
          <w:rFonts w:cs="FrankRuehl" w:hint="cs"/>
          <w:rtl/>
        </w:rPr>
        <w:t>לן משלם את אגרת הרשיון במועד שנקבע;</w:t>
      </w:r>
    </w:p>
    <w:p w14:paraId="52BE9D6A" w14:textId="77777777" w:rsidR="00E64371" w:rsidRDefault="00E64371" w:rsidP="00B36CD7">
      <w:pPr>
        <w:pStyle w:val="P03"/>
        <w:spacing w:before="72"/>
        <w:ind w:left="1021" w:right="1134" w:hanging="397"/>
        <w:rPr>
          <w:rStyle w:val="default"/>
          <w:rFonts w:cs="FrankRuehl"/>
          <w:rtl/>
        </w:rPr>
      </w:pPr>
      <w:r>
        <w:rPr>
          <w:rStyle w:val="default"/>
          <w:rFonts w:cs="FrankRuehl"/>
          <w:rtl/>
        </w:rPr>
        <w:t>8.</w:t>
      </w:r>
      <w:r>
        <w:rPr>
          <w:rStyle w:val="default"/>
          <w:rFonts w:cs="FrankRuehl"/>
          <w:rtl/>
        </w:rPr>
        <w:tab/>
        <w:t>ק</w:t>
      </w:r>
      <w:r>
        <w:rPr>
          <w:rStyle w:val="default"/>
          <w:rFonts w:cs="FrankRuehl" w:hint="cs"/>
          <w:rtl/>
        </w:rPr>
        <w:t>בלן אינו מעביר או מסב את רשיון הקבלן לאחר;</w:t>
      </w:r>
    </w:p>
    <w:p w14:paraId="75A9BC81" w14:textId="77777777" w:rsidR="00E64371" w:rsidRDefault="00E64371" w:rsidP="00B36CD7">
      <w:pPr>
        <w:pStyle w:val="P03"/>
        <w:spacing w:before="72"/>
        <w:ind w:left="1021" w:right="1134" w:hanging="397"/>
        <w:rPr>
          <w:rStyle w:val="default"/>
          <w:rFonts w:cs="FrankRuehl"/>
          <w:rtl/>
        </w:rPr>
      </w:pPr>
      <w:r>
        <w:rPr>
          <w:rStyle w:val="default"/>
          <w:rFonts w:cs="FrankRuehl"/>
          <w:rtl/>
        </w:rPr>
        <w:t>9.</w:t>
      </w:r>
      <w:r>
        <w:rPr>
          <w:rStyle w:val="default"/>
          <w:rFonts w:cs="FrankRuehl"/>
          <w:rtl/>
        </w:rPr>
        <w:tab/>
        <w:t>ק</w:t>
      </w:r>
      <w:r>
        <w:rPr>
          <w:rStyle w:val="default"/>
          <w:rFonts w:cs="FrankRuehl" w:hint="cs"/>
          <w:rtl/>
        </w:rPr>
        <w:t>בלן אינו עושה שימוש לרעה ברשיונו;</w:t>
      </w:r>
    </w:p>
    <w:p w14:paraId="0BB18845" w14:textId="77777777" w:rsidR="00E64371" w:rsidRDefault="00E64371" w:rsidP="00B36CD7">
      <w:pPr>
        <w:pStyle w:val="P03"/>
        <w:spacing w:before="72"/>
        <w:ind w:left="1021" w:right="1134" w:hanging="397"/>
        <w:rPr>
          <w:rStyle w:val="default"/>
          <w:rFonts w:cs="FrankRuehl"/>
          <w:rtl/>
        </w:rPr>
      </w:pPr>
      <w:r>
        <w:rPr>
          <w:rStyle w:val="default"/>
          <w:rFonts w:cs="FrankRuehl"/>
          <w:rtl/>
        </w:rPr>
        <w:t>10.</w:t>
      </w:r>
      <w:r>
        <w:rPr>
          <w:rStyle w:val="default"/>
          <w:rFonts w:cs="FrankRuehl"/>
          <w:rtl/>
        </w:rPr>
        <w:tab/>
        <w:t>ק</w:t>
      </w:r>
      <w:r>
        <w:rPr>
          <w:rStyle w:val="default"/>
          <w:rFonts w:cs="FrankRuehl" w:hint="cs"/>
          <w:rtl/>
        </w:rPr>
        <w:t>בלן עונה לכל פניה בכתב המופנית אליו;</w:t>
      </w:r>
    </w:p>
    <w:p w14:paraId="34C565A8" w14:textId="77777777" w:rsidR="00E64371" w:rsidRDefault="00E64371" w:rsidP="00B36CD7">
      <w:pPr>
        <w:pStyle w:val="P03"/>
        <w:spacing w:before="72"/>
        <w:ind w:left="1021" w:right="1134" w:hanging="397"/>
        <w:rPr>
          <w:rStyle w:val="default"/>
          <w:rFonts w:cs="FrankRuehl"/>
          <w:rtl/>
        </w:rPr>
      </w:pPr>
      <w:r>
        <w:rPr>
          <w:lang w:val="he-IL"/>
        </w:rPr>
        <w:pict w14:anchorId="2E3261D2">
          <v:rect id="_x0000_s1029" style="position:absolute;left:0;text-align:left;margin-left:464.5pt;margin-top:8.05pt;width:75.05pt;height:10pt;z-index:251657728" o:allowincell="f" filled="f" stroked="f" strokecolor="lime" strokeweight=".25pt">
            <v:textbox inset="0,0,0,0">
              <w:txbxContent>
                <w:p w14:paraId="4CE85B51" w14:textId="77777777" w:rsidR="00E64371" w:rsidRDefault="00E64371" w:rsidP="00B36CD7">
                  <w:pPr>
                    <w:spacing w:line="160" w:lineRule="exact"/>
                    <w:jc w:val="left"/>
                    <w:rPr>
                      <w:rFonts w:cs="Miriam"/>
                      <w:noProof/>
                      <w:sz w:val="18"/>
                      <w:szCs w:val="18"/>
                      <w:rtl/>
                    </w:rPr>
                  </w:pPr>
                  <w:r>
                    <w:rPr>
                      <w:rFonts w:cs="Miriam"/>
                      <w:sz w:val="18"/>
                      <w:szCs w:val="18"/>
                      <w:rtl/>
                    </w:rPr>
                    <w:t>תק</w:t>
                  </w:r>
                  <w:r>
                    <w:rPr>
                      <w:rFonts w:cs="Miriam" w:hint="cs"/>
                      <w:sz w:val="18"/>
                      <w:szCs w:val="18"/>
                      <w:rtl/>
                    </w:rPr>
                    <w:t>' תשמ"ט-1989</w:t>
                  </w:r>
                </w:p>
              </w:txbxContent>
            </v:textbox>
            <w10:anchorlock/>
          </v:rect>
        </w:pict>
      </w:r>
      <w:r>
        <w:rPr>
          <w:rStyle w:val="default"/>
          <w:rFonts w:cs="FrankRuehl"/>
          <w:rtl/>
        </w:rPr>
        <w:t>11.</w:t>
      </w:r>
      <w:r>
        <w:rPr>
          <w:rStyle w:val="default"/>
          <w:rFonts w:cs="FrankRuehl"/>
          <w:rtl/>
        </w:rPr>
        <w:tab/>
        <w:t>ק</w:t>
      </w:r>
      <w:r>
        <w:rPr>
          <w:rStyle w:val="default"/>
          <w:rFonts w:cs="FrankRuehl" w:hint="cs"/>
          <w:rtl/>
        </w:rPr>
        <w:t xml:space="preserve">בלן אינו מסב, מעביר או מוסר עבודות שקיבל על עצמו, בשלמותן </w:t>
      </w:r>
      <w:r>
        <w:rPr>
          <w:rStyle w:val="default"/>
          <w:rFonts w:cs="FrankRuehl"/>
          <w:rtl/>
        </w:rPr>
        <w:t>או</w:t>
      </w:r>
      <w:r>
        <w:rPr>
          <w:rStyle w:val="default"/>
          <w:rFonts w:cs="FrankRuehl" w:hint="cs"/>
          <w:rtl/>
        </w:rPr>
        <w:t xml:space="preserve"> בחלקן, לקבלן משנה אשר אינו רשום בפנקס הקבלנים; לענין זה לא יראו בהעסקת עובדים - בין ששכרם משתלם לפי זמן העבודה ובין ששכרם משתלם לפי שיעור העבודה- כשלעצמה, משום מסירת ביצוע עבודה לאחר;</w:t>
      </w:r>
    </w:p>
    <w:p w14:paraId="13D9A66A" w14:textId="77777777" w:rsidR="00411824" w:rsidRDefault="00411824" w:rsidP="00411824">
      <w:pPr>
        <w:pStyle w:val="P03"/>
        <w:spacing w:before="72"/>
        <w:ind w:left="1021" w:right="1134" w:hanging="397"/>
        <w:rPr>
          <w:rStyle w:val="default"/>
          <w:rFonts w:cs="FrankRuehl" w:hint="cs"/>
          <w:rtl/>
        </w:rPr>
      </w:pPr>
      <w:r>
        <w:rPr>
          <w:lang w:val="he-IL"/>
        </w:rPr>
        <w:pict w14:anchorId="5DDF7E91">
          <v:rect id="_x0000_s1034" style="position:absolute;left:0;text-align:left;margin-left:464.5pt;margin-top:8.05pt;width:75.05pt;height:10pt;z-index:251660800" o:allowincell="f" filled="f" stroked="f" strokecolor="lime" strokeweight=".25pt">
            <v:textbox inset="0,0,0,0">
              <w:txbxContent>
                <w:p w14:paraId="51E851E9" w14:textId="77777777" w:rsidR="00411824" w:rsidRDefault="00411824" w:rsidP="00411824">
                  <w:pPr>
                    <w:spacing w:line="160" w:lineRule="exact"/>
                    <w:jc w:val="left"/>
                    <w:rPr>
                      <w:rFonts w:cs="Miriam"/>
                      <w:noProof/>
                      <w:sz w:val="18"/>
                      <w:szCs w:val="18"/>
                      <w:rtl/>
                    </w:rPr>
                  </w:pPr>
                  <w:r>
                    <w:rPr>
                      <w:rFonts w:cs="Miriam"/>
                      <w:sz w:val="18"/>
                      <w:szCs w:val="18"/>
                      <w:rtl/>
                    </w:rPr>
                    <w:t>תק</w:t>
                  </w:r>
                  <w:r>
                    <w:rPr>
                      <w:rFonts w:cs="Miriam" w:hint="cs"/>
                      <w:sz w:val="18"/>
                      <w:szCs w:val="18"/>
                      <w:rtl/>
                    </w:rPr>
                    <w:t>' תשמ"ט-1989</w:t>
                  </w:r>
                </w:p>
              </w:txbxContent>
            </v:textbox>
            <w10:anchorlock/>
          </v:rect>
        </w:pict>
      </w:r>
      <w:r>
        <w:rPr>
          <w:rStyle w:val="default"/>
          <w:rFonts w:cs="FrankRuehl"/>
          <w:rtl/>
        </w:rPr>
        <w:t>12.</w:t>
      </w:r>
      <w:r>
        <w:rPr>
          <w:rStyle w:val="default"/>
          <w:rFonts w:cs="FrankRuehl"/>
          <w:rtl/>
        </w:rPr>
        <w:tab/>
        <w:t>ק</w:t>
      </w:r>
      <w:r>
        <w:rPr>
          <w:rStyle w:val="default"/>
          <w:rFonts w:cs="FrankRuehl" w:hint="cs"/>
          <w:rtl/>
        </w:rPr>
        <w:t>בלן מציב שלט באתר בניה בהתאם לתקנות רישום קבלנים לעבודות הנדס</w:t>
      </w:r>
      <w:r>
        <w:rPr>
          <w:rStyle w:val="default"/>
          <w:rFonts w:cs="FrankRuehl"/>
          <w:rtl/>
        </w:rPr>
        <w:t xml:space="preserve">ה </w:t>
      </w:r>
      <w:r>
        <w:rPr>
          <w:rStyle w:val="default"/>
          <w:rFonts w:cs="FrankRuehl" w:hint="cs"/>
          <w:rtl/>
        </w:rPr>
        <w:t xml:space="preserve">בנאיות </w:t>
      </w:r>
      <w:r>
        <w:rPr>
          <w:rStyle w:val="default"/>
          <w:rFonts w:cs="FrankRuehl" w:hint="cs"/>
          <w:rtl/>
        </w:rPr>
        <w:lastRenderedPageBreak/>
        <w:t>(הצבת שלטים על- ידי קבלנים רשומים) (מס' 2), התשל"ו-1976; קבלן המפר הוראה זו, רשאי הרשם לנקוט נגדו באמצעי משמעת כאמור בסעיף 8א(א)(3) לחוק בלבד;</w:t>
      </w:r>
    </w:p>
    <w:p w14:paraId="1FD1F5D2" w14:textId="77777777" w:rsidR="00E64371" w:rsidRDefault="00E64371" w:rsidP="00411824">
      <w:pPr>
        <w:pStyle w:val="P03"/>
        <w:spacing w:before="72"/>
        <w:ind w:left="1021" w:right="1134" w:hanging="397"/>
        <w:rPr>
          <w:rStyle w:val="default"/>
          <w:rFonts w:cs="FrankRuehl" w:hint="cs"/>
          <w:rtl/>
        </w:rPr>
      </w:pPr>
      <w:r>
        <w:rPr>
          <w:lang w:val="he-IL"/>
        </w:rPr>
        <w:pict w14:anchorId="6207733D">
          <v:rect id="_x0000_s1030" style="position:absolute;left:0;text-align:left;margin-left:464.5pt;margin-top:8.05pt;width:75.05pt;height:10pt;z-index:251658752" o:allowincell="f" filled="f" stroked="f" strokecolor="lime" strokeweight=".25pt">
            <v:textbox inset="0,0,0,0">
              <w:txbxContent>
                <w:p w14:paraId="7D6E0651" w14:textId="77777777" w:rsidR="00E64371" w:rsidRDefault="00E64371" w:rsidP="0041182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411824">
                    <w:rPr>
                      <w:rFonts w:cs="Miriam" w:hint="cs"/>
                      <w:sz w:val="18"/>
                      <w:szCs w:val="18"/>
                      <w:rtl/>
                    </w:rPr>
                    <w:t>תשע"א-2011</w:t>
                  </w:r>
                </w:p>
              </w:txbxContent>
            </v:textbox>
            <w10:anchorlock/>
          </v:rect>
        </w:pict>
      </w:r>
      <w:r>
        <w:rPr>
          <w:rStyle w:val="default"/>
          <w:rFonts w:cs="FrankRuehl"/>
          <w:rtl/>
        </w:rPr>
        <w:t>1</w:t>
      </w:r>
      <w:r w:rsidR="00411824">
        <w:rPr>
          <w:rStyle w:val="default"/>
          <w:rFonts w:cs="FrankRuehl" w:hint="cs"/>
          <w:rtl/>
        </w:rPr>
        <w:t>3</w:t>
      </w:r>
      <w:r>
        <w:rPr>
          <w:rStyle w:val="default"/>
          <w:rFonts w:cs="FrankRuehl"/>
          <w:rtl/>
        </w:rPr>
        <w:t>.</w:t>
      </w:r>
      <w:r>
        <w:rPr>
          <w:rStyle w:val="default"/>
          <w:rFonts w:cs="FrankRuehl"/>
          <w:rtl/>
        </w:rPr>
        <w:tab/>
        <w:t>ק</w:t>
      </w:r>
      <w:r>
        <w:rPr>
          <w:rStyle w:val="default"/>
          <w:rFonts w:cs="FrankRuehl" w:hint="cs"/>
          <w:rtl/>
        </w:rPr>
        <w:t xml:space="preserve">בלן </w:t>
      </w:r>
      <w:r w:rsidR="00411824">
        <w:rPr>
          <w:rStyle w:val="default"/>
          <w:rFonts w:cs="FrankRuehl" w:hint="cs"/>
          <w:rtl/>
        </w:rPr>
        <w:t xml:space="preserve">אינו מגיש לרשם הקבלנים דיווחים בלתי נכונים או מטעים ומעדכן את הרשם בשינויים שחלו בתנאים שעל פיהם נרשם בפנקס הקבלנים וסווג; בפסקה זו, "דיווחים" </w:t>
      </w:r>
      <w:r w:rsidR="00411824">
        <w:rPr>
          <w:rStyle w:val="default"/>
          <w:rFonts w:cs="FrankRuehl"/>
          <w:rtl/>
        </w:rPr>
        <w:t>–</w:t>
      </w:r>
      <w:r w:rsidR="00411824">
        <w:rPr>
          <w:rStyle w:val="default"/>
          <w:rFonts w:cs="FrankRuehl" w:hint="cs"/>
          <w:rtl/>
        </w:rPr>
        <w:t xml:space="preserve"> דיווחים שקבלן נדרש להגיש לרשם הקבלנים לפי החוק</w:t>
      </w:r>
      <w:r>
        <w:rPr>
          <w:rStyle w:val="default"/>
          <w:rFonts w:cs="FrankRuehl" w:hint="cs"/>
          <w:rtl/>
        </w:rPr>
        <w:t>.</w:t>
      </w:r>
    </w:p>
    <w:p w14:paraId="54D02D70" w14:textId="77777777" w:rsidR="005C7D17" w:rsidRPr="00411824" w:rsidRDefault="005C7D17" w:rsidP="00A12033">
      <w:pPr>
        <w:pStyle w:val="P03"/>
        <w:spacing w:before="0"/>
        <w:ind w:left="1474" w:right="1134"/>
        <w:rPr>
          <w:rFonts w:cs="FrankRuehl" w:hint="cs"/>
          <w:vanish/>
          <w:color w:val="FF0000"/>
          <w:szCs w:val="20"/>
          <w:shd w:val="clear" w:color="auto" w:fill="FFFF99"/>
          <w:rtl/>
        </w:rPr>
      </w:pPr>
      <w:bookmarkStart w:id="3" w:name="Rov6"/>
      <w:r w:rsidRPr="00411824">
        <w:rPr>
          <w:rFonts w:cs="FrankRuehl" w:hint="cs"/>
          <w:vanish/>
          <w:color w:val="FF0000"/>
          <w:szCs w:val="20"/>
          <w:shd w:val="clear" w:color="auto" w:fill="FFFF99"/>
          <w:rtl/>
        </w:rPr>
        <w:t>מיום 28.9.1989</w:t>
      </w:r>
    </w:p>
    <w:p w14:paraId="516C0BB6" w14:textId="77777777" w:rsidR="00A12033" w:rsidRPr="00411824" w:rsidRDefault="005C7D17" w:rsidP="00A12033">
      <w:pPr>
        <w:pStyle w:val="P03"/>
        <w:spacing w:before="0"/>
        <w:ind w:left="1474" w:right="1134"/>
        <w:rPr>
          <w:rStyle w:val="default"/>
          <w:rFonts w:cs="FrankRuehl" w:hint="cs"/>
          <w:b/>
          <w:bCs/>
          <w:vanish/>
          <w:sz w:val="20"/>
          <w:szCs w:val="20"/>
          <w:shd w:val="clear" w:color="auto" w:fill="FFFF99"/>
          <w:rtl/>
        </w:rPr>
      </w:pPr>
      <w:r w:rsidRPr="00411824">
        <w:rPr>
          <w:rFonts w:cs="FrankRuehl" w:hint="cs"/>
          <w:b/>
          <w:bCs/>
          <w:vanish/>
          <w:szCs w:val="20"/>
          <w:shd w:val="clear" w:color="auto" w:fill="FFFF99"/>
          <w:rtl/>
        </w:rPr>
        <w:t>תק' תשמ"ט-1989</w:t>
      </w:r>
    </w:p>
    <w:p w14:paraId="390A1FC8" w14:textId="77777777" w:rsidR="00A12033" w:rsidRPr="00411824" w:rsidRDefault="00A12033" w:rsidP="005C7D17">
      <w:pPr>
        <w:pStyle w:val="P03"/>
        <w:spacing w:before="0"/>
        <w:ind w:left="1474" w:right="1134"/>
        <w:rPr>
          <w:rFonts w:cs="FrankRuehl" w:hint="cs"/>
          <w:vanish/>
          <w:szCs w:val="20"/>
          <w:shd w:val="clear" w:color="auto" w:fill="FFFF99"/>
          <w:rtl/>
        </w:rPr>
      </w:pPr>
      <w:hyperlink r:id="rId7" w:history="1">
        <w:r w:rsidRPr="00411824">
          <w:rPr>
            <w:rStyle w:val="Hyperlink"/>
            <w:rFonts w:cs="FrankRuehl" w:hint="cs"/>
            <w:vanish/>
            <w:szCs w:val="20"/>
            <w:shd w:val="clear" w:color="auto" w:fill="FFFF99"/>
            <w:rtl/>
          </w:rPr>
          <w:t>ק"ת תשמ"ט מס' 5221</w:t>
        </w:r>
      </w:hyperlink>
      <w:r w:rsidRPr="00411824">
        <w:rPr>
          <w:rFonts w:cs="FrankRuehl" w:hint="cs"/>
          <w:vanish/>
          <w:szCs w:val="20"/>
          <w:shd w:val="clear" w:color="auto" w:fill="FFFF99"/>
          <w:rtl/>
        </w:rPr>
        <w:t xml:space="preserve"> מיום 28.9.1989 עמ' 1469</w:t>
      </w:r>
    </w:p>
    <w:p w14:paraId="54720D41" w14:textId="77777777" w:rsidR="00411824" w:rsidRPr="00411824" w:rsidRDefault="00411824" w:rsidP="005C7D17">
      <w:pPr>
        <w:pStyle w:val="P03"/>
        <w:spacing w:before="0"/>
        <w:ind w:left="1474" w:right="1134"/>
        <w:rPr>
          <w:rFonts w:cs="FrankRuehl" w:hint="cs"/>
          <w:b/>
          <w:bCs/>
          <w:vanish/>
          <w:szCs w:val="20"/>
          <w:shd w:val="clear" w:color="auto" w:fill="FFFF99"/>
          <w:rtl/>
        </w:rPr>
      </w:pPr>
      <w:r w:rsidRPr="00411824">
        <w:rPr>
          <w:rFonts w:cs="FrankRuehl" w:hint="cs"/>
          <w:b/>
          <w:bCs/>
          <w:vanish/>
          <w:szCs w:val="20"/>
          <w:shd w:val="clear" w:color="auto" w:fill="FFFF99"/>
          <w:rtl/>
        </w:rPr>
        <w:t>הוספת פרטים 11, 12</w:t>
      </w:r>
    </w:p>
    <w:p w14:paraId="36734909" w14:textId="77777777" w:rsidR="00411824" w:rsidRPr="00411824" w:rsidRDefault="00411824" w:rsidP="005C7D17">
      <w:pPr>
        <w:pStyle w:val="P03"/>
        <w:spacing w:before="0"/>
        <w:ind w:left="1474" w:right="1134"/>
        <w:rPr>
          <w:rFonts w:cs="FrankRuehl" w:hint="cs"/>
          <w:vanish/>
          <w:szCs w:val="20"/>
          <w:shd w:val="clear" w:color="auto" w:fill="FFFF99"/>
          <w:rtl/>
        </w:rPr>
      </w:pPr>
    </w:p>
    <w:p w14:paraId="7FC5B09D" w14:textId="77777777" w:rsidR="00411824" w:rsidRPr="00411824" w:rsidRDefault="00411824" w:rsidP="005C7D17">
      <w:pPr>
        <w:pStyle w:val="P03"/>
        <w:spacing w:before="0"/>
        <w:ind w:left="1474" w:right="1134"/>
        <w:rPr>
          <w:rFonts w:cs="FrankRuehl" w:hint="cs"/>
          <w:vanish/>
          <w:color w:val="FF0000"/>
          <w:szCs w:val="20"/>
          <w:shd w:val="clear" w:color="auto" w:fill="FFFF99"/>
          <w:rtl/>
        </w:rPr>
      </w:pPr>
      <w:r w:rsidRPr="00411824">
        <w:rPr>
          <w:rFonts w:cs="FrankRuehl" w:hint="cs"/>
          <w:vanish/>
          <w:color w:val="FF0000"/>
          <w:szCs w:val="20"/>
          <w:shd w:val="clear" w:color="auto" w:fill="FFFF99"/>
          <w:rtl/>
        </w:rPr>
        <w:t>מיום 14.8.2011</w:t>
      </w:r>
    </w:p>
    <w:p w14:paraId="5E1568C6" w14:textId="77777777" w:rsidR="00411824" w:rsidRPr="00411824" w:rsidRDefault="00411824" w:rsidP="005C7D17">
      <w:pPr>
        <w:pStyle w:val="P03"/>
        <w:spacing w:before="0"/>
        <w:ind w:left="1474" w:right="1134"/>
        <w:rPr>
          <w:rFonts w:cs="FrankRuehl" w:hint="cs"/>
          <w:vanish/>
          <w:szCs w:val="20"/>
          <w:shd w:val="clear" w:color="auto" w:fill="FFFF99"/>
          <w:rtl/>
        </w:rPr>
      </w:pPr>
      <w:r w:rsidRPr="00411824">
        <w:rPr>
          <w:rFonts w:cs="FrankRuehl" w:hint="cs"/>
          <w:b/>
          <w:bCs/>
          <w:vanish/>
          <w:szCs w:val="20"/>
          <w:shd w:val="clear" w:color="auto" w:fill="FFFF99"/>
          <w:rtl/>
        </w:rPr>
        <w:t>תק' תשע"א-2011</w:t>
      </w:r>
    </w:p>
    <w:p w14:paraId="766169F0" w14:textId="77777777" w:rsidR="00411824" w:rsidRPr="00411824" w:rsidRDefault="00411824" w:rsidP="005C7D17">
      <w:pPr>
        <w:pStyle w:val="P03"/>
        <w:spacing w:before="0"/>
        <w:ind w:left="1474" w:right="1134"/>
        <w:rPr>
          <w:rFonts w:cs="FrankRuehl" w:hint="cs"/>
          <w:vanish/>
          <w:szCs w:val="20"/>
          <w:shd w:val="clear" w:color="auto" w:fill="FFFF99"/>
          <w:rtl/>
        </w:rPr>
      </w:pPr>
      <w:hyperlink r:id="rId8" w:history="1">
        <w:r w:rsidRPr="00411824">
          <w:rPr>
            <w:rStyle w:val="Hyperlink"/>
            <w:rFonts w:cs="FrankRuehl" w:hint="cs"/>
            <w:vanish/>
            <w:szCs w:val="20"/>
            <w:shd w:val="clear" w:color="auto" w:fill="FFFF99"/>
            <w:rtl/>
          </w:rPr>
          <w:t>ק"ת תשע"א מס' 7013</w:t>
        </w:r>
      </w:hyperlink>
      <w:r w:rsidRPr="00411824">
        <w:rPr>
          <w:rFonts w:cs="FrankRuehl" w:hint="cs"/>
          <w:vanish/>
          <w:szCs w:val="20"/>
          <w:shd w:val="clear" w:color="auto" w:fill="FFFF99"/>
          <w:rtl/>
        </w:rPr>
        <w:t xml:space="preserve"> מיום 30.6.2011 עמ' 1151</w:t>
      </w:r>
    </w:p>
    <w:p w14:paraId="122A1F9D" w14:textId="77777777" w:rsidR="00E35368" w:rsidRPr="008C1EEE" w:rsidRDefault="00E35368" w:rsidP="00411824">
      <w:pPr>
        <w:pStyle w:val="P03"/>
        <w:spacing w:before="0"/>
        <w:ind w:left="1474" w:right="1134"/>
        <w:rPr>
          <w:rStyle w:val="default"/>
          <w:rFonts w:cs="FrankRuehl" w:hint="cs"/>
          <w:b/>
          <w:bCs/>
          <w:sz w:val="2"/>
          <w:szCs w:val="2"/>
          <w:rtl/>
        </w:rPr>
      </w:pPr>
      <w:r w:rsidRPr="00411824">
        <w:rPr>
          <w:rFonts w:cs="FrankRuehl" w:hint="cs"/>
          <w:b/>
          <w:bCs/>
          <w:vanish/>
          <w:szCs w:val="20"/>
          <w:shd w:val="clear" w:color="auto" w:fill="FFFF99"/>
          <w:rtl/>
        </w:rPr>
        <w:t>הוספת פרט 1</w:t>
      </w:r>
      <w:r w:rsidR="00411824" w:rsidRPr="00411824">
        <w:rPr>
          <w:rFonts w:cs="FrankRuehl" w:hint="cs"/>
          <w:b/>
          <w:bCs/>
          <w:vanish/>
          <w:szCs w:val="20"/>
          <w:shd w:val="clear" w:color="auto" w:fill="FFFF99"/>
          <w:rtl/>
        </w:rPr>
        <w:t>3</w:t>
      </w:r>
      <w:bookmarkEnd w:id="3"/>
    </w:p>
    <w:p w14:paraId="750B9496" w14:textId="77777777" w:rsidR="00E64371" w:rsidRDefault="00E64371" w:rsidP="00B36CD7">
      <w:pPr>
        <w:pStyle w:val="P00"/>
        <w:spacing w:before="72"/>
        <w:ind w:left="0" w:right="1134"/>
        <w:rPr>
          <w:rStyle w:val="default"/>
          <w:rFonts w:cs="FrankRuehl"/>
          <w:rtl/>
        </w:rPr>
      </w:pPr>
      <w:bookmarkStart w:id="4" w:name="Seif3"/>
      <w:bookmarkEnd w:id="4"/>
      <w:r>
        <w:rPr>
          <w:lang w:val="he-IL"/>
        </w:rPr>
        <w:pict w14:anchorId="52DCE0F2">
          <v:rect id="_x0000_s1031" style="position:absolute;left:0;text-align:left;margin-left:464.5pt;margin-top:8.05pt;width:75.05pt;height:10pt;z-index:251659776" o:allowincell="f" filled="f" stroked="f" strokecolor="lime" strokeweight=".25pt">
            <v:textbox inset="0,0,0,0">
              <w:txbxContent>
                <w:p w14:paraId="5E54DEB7" w14:textId="77777777" w:rsidR="00E64371" w:rsidRDefault="00E64371">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w:t>
      </w:r>
      <w:r>
        <w:rPr>
          <w:rStyle w:val="big-number"/>
          <w:rFonts w:cs="Miriam"/>
          <w:rtl/>
        </w:rPr>
        <w:tab/>
      </w:r>
      <w:r>
        <w:rPr>
          <w:rStyle w:val="default"/>
          <w:rFonts w:cs="FrankRuehl"/>
          <w:rtl/>
        </w:rPr>
        <w:t>תק</w:t>
      </w:r>
      <w:r>
        <w:rPr>
          <w:rStyle w:val="default"/>
          <w:rFonts w:cs="FrankRuehl" w:hint="cs"/>
          <w:rtl/>
        </w:rPr>
        <w:t>נות רישום קבלנים לעבודות הנדסה בנאיות (ערעור מהימנות והתנהגות בניגוד למקוב</w:t>
      </w:r>
      <w:r>
        <w:rPr>
          <w:rStyle w:val="default"/>
          <w:rFonts w:cs="FrankRuehl"/>
          <w:rtl/>
        </w:rPr>
        <w:t>ל</w:t>
      </w:r>
      <w:r>
        <w:rPr>
          <w:rStyle w:val="default"/>
          <w:rFonts w:cs="FrankRuehl" w:hint="cs"/>
          <w:rtl/>
        </w:rPr>
        <w:t>), תשל"ו-1976 - בטלות.</w:t>
      </w:r>
    </w:p>
    <w:p w14:paraId="5850346E" w14:textId="77777777" w:rsidR="00E64371" w:rsidRDefault="00E64371">
      <w:pPr>
        <w:pStyle w:val="P00"/>
        <w:spacing w:before="72"/>
        <w:ind w:left="0" w:right="1134"/>
        <w:rPr>
          <w:rStyle w:val="default"/>
          <w:rFonts w:cs="FrankRuehl" w:hint="cs"/>
          <w:rtl/>
        </w:rPr>
      </w:pPr>
    </w:p>
    <w:p w14:paraId="17F83635" w14:textId="77777777" w:rsidR="00B36CD7" w:rsidRDefault="00B36CD7">
      <w:pPr>
        <w:pStyle w:val="P00"/>
        <w:spacing w:before="72"/>
        <w:ind w:left="0" w:right="1134"/>
        <w:rPr>
          <w:rStyle w:val="default"/>
          <w:rFonts w:cs="FrankRuehl" w:hint="cs"/>
          <w:rtl/>
        </w:rPr>
      </w:pPr>
    </w:p>
    <w:p w14:paraId="2844455B" w14:textId="77777777" w:rsidR="00E64371" w:rsidRDefault="00E64371">
      <w:pPr>
        <w:pStyle w:val="sig-0"/>
        <w:ind w:left="0" w:right="1134"/>
        <w:rPr>
          <w:rFonts w:cs="FrankRuehl"/>
          <w:sz w:val="26"/>
          <w:rtl/>
        </w:rPr>
      </w:pPr>
      <w:r>
        <w:rPr>
          <w:rFonts w:cs="FrankRuehl"/>
          <w:sz w:val="26"/>
          <w:rtl/>
        </w:rPr>
        <w:t xml:space="preserve">י' </w:t>
      </w:r>
      <w:r>
        <w:rPr>
          <w:rFonts w:cs="FrankRuehl" w:hint="cs"/>
          <w:sz w:val="26"/>
          <w:rtl/>
        </w:rPr>
        <w:t>באלול תשמ"ח (23 באוגוסט 1988)</w:t>
      </w:r>
      <w:r>
        <w:rPr>
          <w:rFonts w:cs="FrankRuehl"/>
          <w:sz w:val="26"/>
          <w:rtl/>
        </w:rPr>
        <w:tab/>
        <w:t>ד</w:t>
      </w:r>
      <w:r>
        <w:rPr>
          <w:rFonts w:cs="FrankRuehl" w:hint="cs"/>
          <w:sz w:val="26"/>
          <w:rtl/>
        </w:rPr>
        <w:t>וד לוי</w:t>
      </w:r>
    </w:p>
    <w:p w14:paraId="5E256D14" w14:textId="77777777" w:rsidR="00E64371" w:rsidRDefault="00E6437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הבינוי והשיכון</w:t>
      </w:r>
    </w:p>
    <w:p w14:paraId="5CD67ADF" w14:textId="77777777" w:rsidR="00B36CD7" w:rsidRPr="00B36CD7" w:rsidRDefault="00B36CD7" w:rsidP="00B36CD7">
      <w:pPr>
        <w:pStyle w:val="P00"/>
        <w:spacing w:before="72"/>
        <w:ind w:left="0" w:right="1134"/>
        <w:rPr>
          <w:rStyle w:val="default"/>
          <w:rFonts w:cs="FrankRuehl" w:hint="cs"/>
          <w:rtl/>
        </w:rPr>
      </w:pPr>
    </w:p>
    <w:p w14:paraId="2B34985A" w14:textId="77777777" w:rsidR="00B36CD7" w:rsidRPr="00B36CD7" w:rsidRDefault="00B36CD7" w:rsidP="00B36CD7">
      <w:pPr>
        <w:pStyle w:val="P00"/>
        <w:spacing w:before="72"/>
        <w:ind w:left="0" w:right="1134"/>
        <w:rPr>
          <w:rStyle w:val="default"/>
          <w:rFonts w:cs="FrankRuehl"/>
          <w:rtl/>
        </w:rPr>
      </w:pPr>
    </w:p>
    <w:p w14:paraId="1BC57848" w14:textId="77777777" w:rsidR="00E64371" w:rsidRPr="00B36CD7" w:rsidRDefault="00E64371" w:rsidP="00B36CD7">
      <w:pPr>
        <w:pStyle w:val="P00"/>
        <w:spacing w:before="72"/>
        <w:ind w:left="0" w:right="1134"/>
        <w:rPr>
          <w:rStyle w:val="default"/>
          <w:rFonts w:cs="FrankRuehl"/>
          <w:rtl/>
        </w:rPr>
      </w:pPr>
      <w:bookmarkStart w:id="5" w:name="LawPartEnd"/>
    </w:p>
    <w:bookmarkEnd w:id="5"/>
    <w:p w14:paraId="01A435DB" w14:textId="77777777" w:rsidR="00DC153B" w:rsidRDefault="00DC153B" w:rsidP="00B36CD7">
      <w:pPr>
        <w:pStyle w:val="P00"/>
        <w:spacing w:before="72"/>
        <w:ind w:left="0" w:right="1134"/>
        <w:rPr>
          <w:rStyle w:val="default"/>
          <w:rFonts w:cs="FrankRuehl"/>
          <w:rtl/>
        </w:rPr>
      </w:pPr>
    </w:p>
    <w:p w14:paraId="13B2C1EB" w14:textId="77777777" w:rsidR="00DC153B" w:rsidRDefault="00DC153B" w:rsidP="00B36CD7">
      <w:pPr>
        <w:pStyle w:val="P00"/>
        <w:spacing w:before="72"/>
        <w:ind w:left="0" w:right="1134"/>
        <w:rPr>
          <w:rStyle w:val="default"/>
          <w:rFonts w:cs="FrankRuehl"/>
          <w:rtl/>
        </w:rPr>
      </w:pPr>
    </w:p>
    <w:p w14:paraId="4BC6000E" w14:textId="77777777" w:rsidR="00DC153B" w:rsidRDefault="00DC153B" w:rsidP="00DC153B">
      <w:pPr>
        <w:pStyle w:val="P00"/>
        <w:spacing w:before="72"/>
        <w:ind w:left="0" w:right="1134"/>
        <w:jc w:val="center"/>
        <w:rPr>
          <w:rStyle w:val="default"/>
          <w:rFonts w:cs="David"/>
          <w:color w:val="0000FF"/>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14:paraId="05FCFA76" w14:textId="77777777" w:rsidR="00E64371" w:rsidRPr="00DC153B" w:rsidRDefault="00E64371" w:rsidP="00DC153B">
      <w:pPr>
        <w:pStyle w:val="P00"/>
        <w:spacing w:before="72"/>
        <w:ind w:left="0" w:right="1134"/>
        <w:jc w:val="center"/>
        <w:rPr>
          <w:rStyle w:val="default"/>
          <w:rFonts w:cs="David"/>
          <w:color w:val="0000FF"/>
          <w:szCs w:val="24"/>
          <w:u w:val="single"/>
          <w:rtl/>
        </w:rPr>
      </w:pPr>
    </w:p>
    <w:sectPr w:rsidR="00E64371" w:rsidRPr="00DC153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6A5E3" w14:textId="77777777" w:rsidR="001900F9" w:rsidRDefault="001900F9">
      <w:r>
        <w:separator/>
      </w:r>
    </w:p>
  </w:endnote>
  <w:endnote w:type="continuationSeparator" w:id="0">
    <w:p w14:paraId="31EFF976" w14:textId="77777777" w:rsidR="001900F9" w:rsidRDefault="0019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D7C13" w14:textId="77777777" w:rsidR="00E64371" w:rsidRDefault="00E6437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4DB24F" w14:textId="77777777" w:rsidR="00E64371" w:rsidRDefault="00E6437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BE2629" w14:textId="77777777" w:rsidR="00E64371" w:rsidRDefault="00E6437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153B">
      <w:rPr>
        <w:rFonts w:cs="TopType Jerushalmi"/>
        <w:noProof/>
        <w:color w:val="000000"/>
        <w:sz w:val="14"/>
        <w:szCs w:val="14"/>
      </w:rPr>
      <w:t>Z:\00000000000000000000000=2014------------------------\LawsForTableRun\06\P202K1_030.doc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3A7" w14:textId="77777777" w:rsidR="00E64371" w:rsidRDefault="00E6437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153B">
      <w:rPr>
        <w:rFonts w:hAnsi="FrankRuehl" w:cs="FrankRuehl"/>
        <w:noProof/>
        <w:sz w:val="24"/>
        <w:szCs w:val="24"/>
        <w:rtl/>
      </w:rPr>
      <w:t>3</w:t>
    </w:r>
    <w:r>
      <w:rPr>
        <w:rFonts w:hAnsi="FrankRuehl" w:cs="FrankRuehl"/>
        <w:sz w:val="24"/>
        <w:szCs w:val="24"/>
        <w:rtl/>
      </w:rPr>
      <w:fldChar w:fldCharType="end"/>
    </w:r>
  </w:p>
  <w:p w14:paraId="0BFFD291" w14:textId="77777777" w:rsidR="00E64371" w:rsidRDefault="00E6437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3DB06E" w14:textId="77777777" w:rsidR="00E64371" w:rsidRDefault="00E6437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153B">
      <w:rPr>
        <w:rFonts w:cs="TopType Jerushalmi"/>
        <w:noProof/>
        <w:color w:val="000000"/>
        <w:sz w:val="14"/>
        <w:szCs w:val="14"/>
      </w:rPr>
      <w:t>Z:\00000000000000000000000=2014------------------------\LawsForTableRun\06\P202K1_030.doc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926E" w14:textId="77777777" w:rsidR="001900F9" w:rsidRDefault="001900F9" w:rsidP="006056D3">
      <w:pPr>
        <w:spacing w:before="60" w:line="240" w:lineRule="auto"/>
        <w:ind w:right="1134"/>
      </w:pPr>
      <w:r>
        <w:separator/>
      </w:r>
    </w:p>
  </w:footnote>
  <w:footnote w:type="continuationSeparator" w:id="0">
    <w:p w14:paraId="1B95F062" w14:textId="77777777" w:rsidR="001900F9" w:rsidRDefault="001900F9">
      <w:r>
        <w:continuationSeparator/>
      </w:r>
    </w:p>
  </w:footnote>
  <w:footnote w:id="1">
    <w:p w14:paraId="07B3E75A" w14:textId="77777777" w:rsidR="006056D3" w:rsidRDefault="006056D3" w:rsidP="006056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056D3">
        <w:rPr>
          <w:rFonts w:cs="FrankRuehl"/>
          <w:rtl/>
        </w:rPr>
        <w:t xml:space="preserve">* </w:t>
      </w:r>
      <w:r>
        <w:rPr>
          <w:rFonts w:cs="FrankRuehl"/>
          <w:rtl/>
        </w:rPr>
        <w:t>פו</w:t>
      </w:r>
      <w:r>
        <w:rPr>
          <w:rFonts w:cs="FrankRuehl" w:hint="cs"/>
          <w:rtl/>
        </w:rPr>
        <w:t xml:space="preserve">רסמו </w:t>
      </w:r>
      <w:hyperlink r:id="rId1" w:history="1">
        <w:r w:rsidRPr="008B42DC">
          <w:rPr>
            <w:rStyle w:val="Hyperlink"/>
            <w:rFonts w:cs="FrankRuehl" w:hint="cs"/>
            <w:rtl/>
          </w:rPr>
          <w:t>ק"ת תשמ"ט מס' 5136</w:t>
        </w:r>
      </w:hyperlink>
      <w:r>
        <w:rPr>
          <w:rFonts w:cs="FrankRuehl" w:hint="cs"/>
          <w:rtl/>
        </w:rPr>
        <w:t xml:space="preserve"> מיום 25.9.1988 עמ' 44.</w:t>
      </w:r>
    </w:p>
    <w:p w14:paraId="1BBF1A6D" w14:textId="77777777" w:rsidR="006056D3" w:rsidRDefault="006056D3" w:rsidP="006056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8B42DC">
          <w:rPr>
            <w:rStyle w:val="Hyperlink"/>
            <w:rFonts w:cs="FrankRuehl" w:hint="cs"/>
            <w:rtl/>
          </w:rPr>
          <w:t>ק"ת תשמ"ט מס' 5221</w:t>
        </w:r>
      </w:hyperlink>
      <w:r>
        <w:rPr>
          <w:rFonts w:cs="FrankRuehl" w:hint="cs"/>
          <w:rtl/>
        </w:rPr>
        <w:t xml:space="preserve"> מיום 28.9.1989 עמ' 1469 </w:t>
      </w:r>
      <w:r>
        <w:rPr>
          <w:rFonts w:cs="FrankRuehl"/>
          <w:rtl/>
        </w:rPr>
        <w:t>–</w:t>
      </w:r>
      <w:r>
        <w:rPr>
          <w:rFonts w:cs="FrankRuehl" w:hint="cs"/>
          <w:rtl/>
        </w:rPr>
        <w:t xml:space="preserve"> </w:t>
      </w:r>
      <w:r w:rsidRPr="00A12033">
        <w:rPr>
          <w:rFonts w:cs="FrankRuehl" w:hint="cs"/>
          <w:rtl/>
        </w:rPr>
        <w:t>תק'</w:t>
      </w:r>
      <w:r>
        <w:rPr>
          <w:rFonts w:cs="FrankRuehl" w:hint="cs"/>
          <w:rtl/>
        </w:rPr>
        <w:t xml:space="preserve"> תשמ"ט-1989.</w:t>
      </w:r>
    </w:p>
    <w:p w14:paraId="0D6579F4" w14:textId="77777777" w:rsidR="006056D3" w:rsidRDefault="006056D3" w:rsidP="00B36C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56CD4">
          <w:rPr>
            <w:rStyle w:val="Hyperlink"/>
            <w:rFonts w:cs="FrankRuehl" w:hint="cs"/>
            <w:rtl/>
          </w:rPr>
          <w:t>ק</w:t>
        </w:r>
        <w:r w:rsidRPr="00356CD4">
          <w:rPr>
            <w:rStyle w:val="Hyperlink"/>
            <w:rFonts w:cs="FrankRuehl"/>
            <w:rtl/>
          </w:rPr>
          <w:t>"</w:t>
        </w:r>
        <w:r w:rsidRPr="00356CD4">
          <w:rPr>
            <w:rStyle w:val="Hyperlink"/>
            <w:rFonts w:cs="FrankRuehl" w:hint="cs"/>
            <w:rtl/>
          </w:rPr>
          <w:t>ת</w:t>
        </w:r>
        <w:r w:rsidRPr="00356CD4">
          <w:rPr>
            <w:rStyle w:val="Hyperlink"/>
            <w:rFonts w:cs="FrankRuehl"/>
            <w:rtl/>
          </w:rPr>
          <w:t xml:space="preserve"> ת</w:t>
        </w:r>
        <w:r w:rsidRPr="00356CD4">
          <w:rPr>
            <w:rStyle w:val="Hyperlink"/>
            <w:rFonts w:cs="FrankRuehl" w:hint="cs"/>
            <w:rtl/>
          </w:rPr>
          <w:t>שנ"ט מס' 5940</w:t>
        </w:r>
      </w:hyperlink>
      <w:r>
        <w:rPr>
          <w:rFonts w:cs="FrankRuehl" w:hint="cs"/>
          <w:rtl/>
        </w:rPr>
        <w:t xml:space="preserve"> מיום 8.12.1998 עמ' 228 </w:t>
      </w:r>
      <w:r>
        <w:rPr>
          <w:rFonts w:cs="FrankRuehl"/>
          <w:rtl/>
        </w:rPr>
        <w:t>–</w:t>
      </w:r>
      <w:r>
        <w:rPr>
          <w:rFonts w:cs="FrankRuehl" w:hint="cs"/>
          <w:rtl/>
        </w:rPr>
        <w:t xml:space="preserve"> תק' תשנ"ט-</w:t>
      </w:r>
      <w:r>
        <w:rPr>
          <w:rFonts w:cs="FrankRuehl"/>
          <w:rtl/>
        </w:rPr>
        <w:t xml:space="preserve">1998; </w:t>
      </w:r>
      <w:r>
        <w:rPr>
          <w:rFonts w:cs="FrankRuehl" w:hint="cs"/>
          <w:rtl/>
        </w:rPr>
        <w:t xml:space="preserve">תחילתן </w:t>
      </w:r>
      <w:r w:rsidR="00B36CD7">
        <w:rPr>
          <w:rFonts w:cs="FrankRuehl" w:hint="cs"/>
          <w:rtl/>
        </w:rPr>
        <w:t>שלושים</w:t>
      </w:r>
      <w:r>
        <w:rPr>
          <w:rFonts w:cs="FrankRuehl" w:hint="cs"/>
          <w:rtl/>
        </w:rPr>
        <w:t xml:space="preserve"> ימים מיום פרסומן.</w:t>
      </w:r>
    </w:p>
    <w:p w14:paraId="09043B85" w14:textId="77777777" w:rsidR="003C6217" w:rsidRPr="006056D3" w:rsidRDefault="003C6217" w:rsidP="003C62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411824" w:rsidRPr="003C6217">
          <w:rPr>
            <w:rStyle w:val="Hyperlink"/>
            <w:rFonts w:cs="FrankRuehl" w:hint="cs"/>
            <w:rtl/>
          </w:rPr>
          <w:t>ק"ת תשע"א מס' 7013</w:t>
        </w:r>
      </w:hyperlink>
      <w:r w:rsidR="00411824">
        <w:rPr>
          <w:rFonts w:cs="FrankRuehl" w:hint="cs"/>
          <w:rtl/>
        </w:rPr>
        <w:t xml:space="preserve"> מיום 30.6.2011 עמ' 1151 </w:t>
      </w:r>
      <w:r w:rsidR="00411824">
        <w:rPr>
          <w:rFonts w:cs="FrankRuehl"/>
          <w:rtl/>
        </w:rPr>
        <w:t>–</w:t>
      </w:r>
      <w:r w:rsidR="00411824">
        <w:rPr>
          <w:rFonts w:cs="FrankRuehl" w:hint="cs"/>
          <w:rtl/>
        </w:rPr>
        <w:t xml:space="preserve"> תק' תשע"א-2011; תחילתן 45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CF351" w14:textId="77777777" w:rsidR="00E64371" w:rsidRDefault="00E6437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(ערעור מהימנות והתנהגות בניגוד למקובל), תשמ"ט- 1988</w:t>
    </w:r>
  </w:p>
  <w:p w14:paraId="141F20FA" w14:textId="77777777" w:rsidR="00E64371" w:rsidRDefault="00E6437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40D34B" w14:textId="77777777" w:rsidR="00E64371" w:rsidRDefault="00E6437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216E" w14:textId="77777777" w:rsidR="00E64371" w:rsidRDefault="00E64371" w:rsidP="006056D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(ערעור מהימנות והתנהגות בניגוד למקובל), תשמ"ט-1988</w:t>
    </w:r>
  </w:p>
  <w:p w14:paraId="7AE6276A" w14:textId="77777777" w:rsidR="00E64371" w:rsidRDefault="00E6437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82FF06" w14:textId="77777777" w:rsidR="00E64371" w:rsidRDefault="00E6437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42DC"/>
    <w:rsid w:val="000C0DEB"/>
    <w:rsid w:val="00102029"/>
    <w:rsid w:val="001373B8"/>
    <w:rsid w:val="001900F9"/>
    <w:rsid w:val="002240C3"/>
    <w:rsid w:val="00353AAB"/>
    <w:rsid w:val="00356CD4"/>
    <w:rsid w:val="003C6217"/>
    <w:rsid w:val="00411824"/>
    <w:rsid w:val="00446B7C"/>
    <w:rsid w:val="004F4544"/>
    <w:rsid w:val="00542423"/>
    <w:rsid w:val="00543274"/>
    <w:rsid w:val="00567723"/>
    <w:rsid w:val="005747C7"/>
    <w:rsid w:val="005A0881"/>
    <w:rsid w:val="005C7D17"/>
    <w:rsid w:val="006056D3"/>
    <w:rsid w:val="0063159B"/>
    <w:rsid w:val="006842F7"/>
    <w:rsid w:val="007638D7"/>
    <w:rsid w:val="007C0E32"/>
    <w:rsid w:val="007F01EE"/>
    <w:rsid w:val="008407BD"/>
    <w:rsid w:val="008B42DC"/>
    <w:rsid w:val="008C1EEE"/>
    <w:rsid w:val="00946A9D"/>
    <w:rsid w:val="00953D6F"/>
    <w:rsid w:val="00A12033"/>
    <w:rsid w:val="00B36CD7"/>
    <w:rsid w:val="00B96BD7"/>
    <w:rsid w:val="00BF6386"/>
    <w:rsid w:val="00D270A5"/>
    <w:rsid w:val="00DC153B"/>
    <w:rsid w:val="00E324C8"/>
    <w:rsid w:val="00E35368"/>
    <w:rsid w:val="00E64371"/>
    <w:rsid w:val="00EA60F4"/>
    <w:rsid w:val="00EB1E86"/>
    <w:rsid w:val="00ED721C"/>
    <w:rsid w:val="00F32029"/>
    <w:rsid w:val="00FA52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40EE237"/>
  <w15:chartTrackingRefBased/>
  <w15:docId w15:val="{FB2B3ADC-5BCB-4FF5-9EC0-CAE89009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056D3"/>
    <w:rPr>
      <w:sz w:val="20"/>
      <w:szCs w:val="20"/>
    </w:rPr>
  </w:style>
  <w:style w:type="character" w:styleId="a6">
    <w:name w:val="footnote reference"/>
    <w:basedOn w:val="a0"/>
    <w:semiHidden/>
    <w:rsid w:val="006056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13.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221.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940.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40.pdf" TargetMode="External"/><Relationship Id="rId2" Type="http://schemas.openxmlformats.org/officeDocument/2006/relationships/hyperlink" Target="http://www.nevo.co.il/Law_word/law06/TAK-5221.pdf" TargetMode="External"/><Relationship Id="rId1" Type="http://schemas.openxmlformats.org/officeDocument/2006/relationships/hyperlink" Target="http://www.nevo.co.il/Law_word/law06/TAK-5136.pdf" TargetMode="External"/><Relationship Id="rId4" Type="http://schemas.openxmlformats.org/officeDocument/2006/relationships/hyperlink" Target="http://www.nevo.co.il/Law_word/law06/TAK-70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202א</vt:lpstr>
    </vt:vector>
  </TitlesOfParts>
  <Company/>
  <LinksUpToDate>false</LinksUpToDate>
  <CharactersWithSpaces>4319</CharactersWithSpaces>
  <SharedDoc>false</SharedDoc>
  <HLinks>
    <vt:vector size="66" baseType="variant">
      <vt:variant>
        <vt:i4>393283</vt:i4>
      </vt:variant>
      <vt:variant>
        <vt:i4>27</vt:i4>
      </vt:variant>
      <vt:variant>
        <vt:i4>0</vt:i4>
      </vt:variant>
      <vt:variant>
        <vt:i4>5</vt:i4>
      </vt:variant>
      <vt:variant>
        <vt:lpwstr>http://www.nevo.co.il/advertisements/nevo-100.doc</vt:lpwstr>
      </vt:variant>
      <vt:variant>
        <vt:lpwstr/>
      </vt:variant>
      <vt:variant>
        <vt:i4>8323083</vt:i4>
      </vt:variant>
      <vt:variant>
        <vt:i4>24</vt:i4>
      </vt:variant>
      <vt:variant>
        <vt:i4>0</vt:i4>
      </vt:variant>
      <vt:variant>
        <vt:i4>5</vt:i4>
      </vt:variant>
      <vt:variant>
        <vt:lpwstr>http://www.nevo.co.il/law_word/law06/tak-7013.pdf</vt:lpwstr>
      </vt:variant>
      <vt:variant>
        <vt:lpwstr/>
      </vt:variant>
      <vt:variant>
        <vt:i4>8257547</vt:i4>
      </vt:variant>
      <vt:variant>
        <vt:i4>21</vt:i4>
      </vt:variant>
      <vt:variant>
        <vt:i4>0</vt:i4>
      </vt:variant>
      <vt:variant>
        <vt:i4>5</vt:i4>
      </vt:variant>
      <vt:variant>
        <vt:lpwstr>http://www.nevo.co.il/Law_word/law06/TAK-5221.pdf</vt:lpwstr>
      </vt:variant>
      <vt:variant>
        <vt:lpwstr/>
      </vt:variant>
      <vt:variant>
        <vt:i4>7864321</vt:i4>
      </vt:variant>
      <vt:variant>
        <vt:i4>18</vt:i4>
      </vt:variant>
      <vt:variant>
        <vt:i4>0</vt:i4>
      </vt:variant>
      <vt:variant>
        <vt:i4>5</vt:i4>
      </vt:variant>
      <vt:variant>
        <vt:lpwstr>http://www.nevo.co.il/Law_word/law06/TAK-5940.pdf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8323083</vt:i4>
      </vt:variant>
      <vt:variant>
        <vt:i4>9</vt:i4>
      </vt:variant>
      <vt:variant>
        <vt:i4>0</vt:i4>
      </vt:variant>
      <vt:variant>
        <vt:i4>5</vt:i4>
      </vt:variant>
      <vt:variant>
        <vt:lpwstr>http://www.nevo.co.il/Law_word/law06/TAK-7013.pdf</vt:lpwstr>
      </vt:variant>
      <vt:variant>
        <vt:lpwstr/>
      </vt:variant>
      <vt:variant>
        <vt:i4>7864321</vt:i4>
      </vt:variant>
      <vt:variant>
        <vt:i4>6</vt:i4>
      </vt:variant>
      <vt:variant>
        <vt:i4>0</vt:i4>
      </vt:variant>
      <vt:variant>
        <vt:i4>5</vt:i4>
      </vt:variant>
      <vt:variant>
        <vt:lpwstr>http://www.nevo.co.il/Law_word/law06/TAK-5940.pdf</vt:lpwstr>
      </vt:variant>
      <vt:variant>
        <vt:lpwstr/>
      </vt:variant>
      <vt:variant>
        <vt:i4>8257547</vt:i4>
      </vt:variant>
      <vt:variant>
        <vt:i4>3</vt:i4>
      </vt:variant>
      <vt:variant>
        <vt:i4>0</vt:i4>
      </vt:variant>
      <vt:variant>
        <vt:i4>5</vt:i4>
      </vt:variant>
      <vt:variant>
        <vt:lpwstr>http://www.nevo.co.il/Law_word/law06/TAK-5221.pdf</vt:lpwstr>
      </vt:variant>
      <vt:variant>
        <vt:lpwstr/>
      </vt:variant>
      <vt:variant>
        <vt:i4>8323087</vt:i4>
      </vt:variant>
      <vt:variant>
        <vt:i4>0</vt:i4>
      </vt:variant>
      <vt:variant>
        <vt:i4>0</vt:i4>
      </vt:variant>
      <vt:variant>
        <vt:i4>5</vt:i4>
      </vt:variant>
      <vt:variant>
        <vt:lpwstr>http://www.nevo.co.il/Law_word/law06/TAK-5136.pdf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P202K1</vt:lpwstr>
  </property>
  <property fmtid="{D5CDD505-2E9C-101B-9397-08002B2CF9AE}" pid="3" name="CHNAME">
    <vt:lpwstr>קבלנים לעבודות הנדסה בנאיות</vt:lpwstr>
  </property>
  <property fmtid="{D5CDD505-2E9C-101B-9397-08002B2CF9AE}" pid="4" name="LAWNAME">
    <vt:lpwstr>תקנות רישום קבלנים לעבודות הנדסה בנאיות (ערעור מהימנות והתנהגות בניגוד למקובל), תשמ"ט-1988</vt:lpwstr>
  </property>
  <property fmtid="{D5CDD505-2E9C-101B-9397-08002B2CF9AE}" pid="5" name="LAWNUMBER">
    <vt:lpwstr>0030</vt:lpwstr>
  </property>
  <property fmtid="{D5CDD505-2E9C-101B-9397-08002B2CF9AE}" pid="6" name="TYPE">
    <vt:lpwstr>01</vt:lpwstr>
  </property>
  <property fmtid="{D5CDD505-2E9C-101B-9397-08002B2CF9AE}" pid="7" name="MEKOR_NAME1">
    <vt:lpwstr>חוק רישום קבלנים לעבודות הנדסה בנאיות</vt:lpwstr>
  </property>
  <property fmtid="{D5CDD505-2E9C-101B-9397-08002B2CF9AE}" pid="8" name="MEKOR_SAIF1">
    <vt:lpwstr>8XאX2X;8X3X;17X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קבלנים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קבלנים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http://www.nevo.co.il/Law_word/law06/TAK-7013.pdf;‎רשומות - תקנות כלליות#ק"ת תשע"א מס' 7013 ‏‏#מיום 30.6.2011 עמ' 1151 – תק' תשע"א-2011; תחילתן 45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