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A0E" w:rsidRDefault="00D16A0E" w:rsidP="00801263">
      <w:pPr>
        <w:pStyle w:val="big-header"/>
        <w:ind w:left="0" w:right="1134"/>
        <w:rPr>
          <w:rFonts w:cs="FrankRuehl" w:hint="cs"/>
          <w:sz w:val="32"/>
          <w:rtl/>
        </w:rPr>
      </w:pPr>
      <w:r>
        <w:rPr>
          <w:rFonts w:cs="FrankRuehl"/>
          <w:sz w:val="32"/>
          <w:rtl/>
        </w:rPr>
        <w:t>תקנות רמת הגולן (הליכי משפט) (הוראות מעבר), תשמ"ב</w:t>
      </w:r>
      <w:r w:rsidR="00801263">
        <w:rPr>
          <w:rFonts w:cs="FrankRuehl" w:hint="cs"/>
          <w:sz w:val="32"/>
          <w:rtl/>
        </w:rPr>
        <w:t>-</w:t>
      </w:r>
      <w:r>
        <w:rPr>
          <w:rFonts w:cs="FrankRuehl"/>
          <w:sz w:val="32"/>
          <w:rtl/>
        </w:rPr>
        <w:t>1981</w:t>
      </w:r>
    </w:p>
    <w:p w:rsidR="0047339D" w:rsidRDefault="0047339D">
      <w:pPr>
        <w:pStyle w:val="big-header"/>
        <w:ind w:left="0" w:right="1134"/>
        <w:rPr>
          <w:rFonts w:cs="FrankRuehl"/>
          <w:color w:val="008000"/>
          <w:sz w:val="32"/>
        </w:rPr>
      </w:pPr>
      <w:r w:rsidRPr="0047339D">
        <w:rPr>
          <w:rFonts w:cs="FrankRuehl" w:hint="cs"/>
          <w:color w:val="008000"/>
          <w:sz w:val="32"/>
          <w:rtl/>
        </w:rPr>
        <w:t>רבדים בחקיקה</w:t>
      </w:r>
    </w:p>
    <w:p w:rsidR="00155470" w:rsidRDefault="00155470" w:rsidP="00155470">
      <w:pPr>
        <w:spacing w:line="320" w:lineRule="auto"/>
        <w:jc w:val="left"/>
        <w:rPr>
          <w:rtl/>
        </w:rPr>
      </w:pPr>
    </w:p>
    <w:p w:rsidR="00155470" w:rsidRDefault="00155470" w:rsidP="00155470">
      <w:pPr>
        <w:spacing w:line="320" w:lineRule="auto"/>
        <w:jc w:val="left"/>
        <w:rPr>
          <w:rFonts w:cs="FrankRuehl"/>
          <w:szCs w:val="26"/>
          <w:rtl/>
        </w:rPr>
      </w:pPr>
      <w:r w:rsidRPr="00155470">
        <w:rPr>
          <w:rFonts w:cs="Miriam"/>
          <w:szCs w:val="22"/>
          <w:rtl/>
        </w:rPr>
        <w:t>בטחון</w:t>
      </w:r>
      <w:r w:rsidRPr="00155470">
        <w:rPr>
          <w:rFonts w:cs="FrankRuehl"/>
          <w:szCs w:val="26"/>
          <w:rtl/>
        </w:rPr>
        <w:t xml:space="preserve"> – רמת הגולן – הוראות מעבר</w:t>
      </w:r>
    </w:p>
    <w:p w:rsidR="00155470" w:rsidRDefault="00155470" w:rsidP="00155470">
      <w:pPr>
        <w:spacing w:line="320" w:lineRule="auto"/>
        <w:jc w:val="left"/>
        <w:rPr>
          <w:rFonts w:cs="FrankRuehl"/>
          <w:szCs w:val="26"/>
          <w:rtl/>
        </w:rPr>
      </w:pPr>
      <w:r w:rsidRPr="00155470">
        <w:rPr>
          <w:rFonts w:cs="Miriam"/>
          <w:szCs w:val="22"/>
          <w:rtl/>
        </w:rPr>
        <w:t>בתי משפט וסדרי דין</w:t>
      </w:r>
      <w:r w:rsidRPr="00155470">
        <w:rPr>
          <w:rFonts w:cs="FrankRuehl"/>
          <w:szCs w:val="26"/>
          <w:rtl/>
        </w:rPr>
        <w:t xml:space="preserve"> – סדר דין פלילי</w:t>
      </w:r>
    </w:p>
    <w:p w:rsidR="000F0B1D" w:rsidRPr="00155470" w:rsidRDefault="00155470" w:rsidP="00155470">
      <w:pPr>
        <w:spacing w:line="320" w:lineRule="auto"/>
        <w:jc w:val="left"/>
        <w:rPr>
          <w:rFonts w:cs="Miriam"/>
          <w:szCs w:val="22"/>
          <w:rtl/>
        </w:rPr>
      </w:pPr>
      <w:r w:rsidRPr="00155470">
        <w:rPr>
          <w:rFonts w:cs="Miriam"/>
          <w:szCs w:val="22"/>
          <w:rtl/>
        </w:rPr>
        <w:t>בתי משפט וסדרי דין</w:t>
      </w:r>
      <w:r w:rsidRPr="00155470">
        <w:rPr>
          <w:rFonts w:cs="FrankRuehl"/>
          <w:szCs w:val="26"/>
          <w:rtl/>
        </w:rPr>
        <w:t xml:space="preserve"> – סדר דין אזרחי</w:t>
      </w:r>
    </w:p>
    <w:p w:rsidR="00D16A0E" w:rsidRDefault="00D16A0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01263">
              <w:rPr>
                <w:noProof/>
                <w:sz w:val="24"/>
                <w:rtl/>
              </w:rPr>
              <w:t>2</w:t>
            </w:r>
            <w:r>
              <w:rPr>
                <w:sz w:val="24"/>
                <w:rtl/>
              </w:rPr>
              <w:fldChar w:fldCharType="end"/>
            </w:r>
          </w:p>
        </w:tc>
        <w:tc>
          <w:tcPr>
            <w:tcW w:w="567" w:type="dxa"/>
          </w:tcPr>
          <w:p w:rsidR="00D16A0E" w:rsidRDefault="00D16A0E">
            <w:pPr>
              <w:spacing w:line="240" w:lineRule="auto"/>
              <w:rPr>
                <w:sz w:val="24"/>
              </w:rPr>
            </w:pPr>
            <w:hyperlink w:anchor="Seif0" w:tooltip="הגדרות" w:history="1">
              <w:r>
                <w:rPr>
                  <w:rStyle w:val="Hyperlink"/>
                </w:rPr>
                <w:t>Go</w:t>
              </w:r>
            </w:hyperlink>
          </w:p>
        </w:tc>
        <w:tc>
          <w:tcPr>
            <w:tcW w:w="5669" w:type="dxa"/>
          </w:tcPr>
          <w:p w:rsidR="00D16A0E" w:rsidRDefault="00D16A0E">
            <w:pPr>
              <w:spacing w:line="240" w:lineRule="auto"/>
              <w:rPr>
                <w:sz w:val="24"/>
                <w:rtl/>
              </w:rPr>
            </w:pPr>
            <w:r>
              <w:rPr>
                <w:sz w:val="24"/>
                <w:rtl/>
              </w:rPr>
              <w:t>הגדרות</w:t>
            </w:r>
          </w:p>
        </w:tc>
        <w:tc>
          <w:tcPr>
            <w:tcW w:w="1247" w:type="dxa"/>
          </w:tcPr>
          <w:p w:rsidR="00D16A0E" w:rsidRDefault="00D16A0E">
            <w:pPr>
              <w:spacing w:line="240" w:lineRule="auto"/>
              <w:rPr>
                <w:sz w:val="24"/>
              </w:rPr>
            </w:pPr>
            <w:r>
              <w:rPr>
                <w:sz w:val="24"/>
                <w:rtl/>
              </w:rPr>
              <w:t xml:space="preserve">סעיף 1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01263">
              <w:rPr>
                <w:noProof/>
                <w:sz w:val="24"/>
                <w:rtl/>
              </w:rPr>
              <w:t>2</w:t>
            </w:r>
            <w:r>
              <w:rPr>
                <w:sz w:val="24"/>
                <w:rtl/>
              </w:rPr>
              <w:fldChar w:fldCharType="end"/>
            </w:r>
          </w:p>
        </w:tc>
        <w:tc>
          <w:tcPr>
            <w:tcW w:w="567" w:type="dxa"/>
          </w:tcPr>
          <w:p w:rsidR="00D16A0E" w:rsidRDefault="00D16A0E">
            <w:pPr>
              <w:spacing w:line="240" w:lineRule="auto"/>
              <w:rPr>
                <w:sz w:val="24"/>
              </w:rPr>
            </w:pPr>
            <w:hyperlink w:anchor="Seif1" w:tooltip="המשך הליכים בבית משפט במסעדה" w:history="1">
              <w:r>
                <w:rPr>
                  <w:rStyle w:val="Hyperlink"/>
                </w:rPr>
                <w:t>Go</w:t>
              </w:r>
            </w:hyperlink>
          </w:p>
        </w:tc>
        <w:tc>
          <w:tcPr>
            <w:tcW w:w="5669" w:type="dxa"/>
          </w:tcPr>
          <w:p w:rsidR="00D16A0E" w:rsidRDefault="00D16A0E">
            <w:pPr>
              <w:spacing w:line="240" w:lineRule="auto"/>
              <w:rPr>
                <w:sz w:val="24"/>
                <w:rtl/>
              </w:rPr>
            </w:pPr>
            <w:r>
              <w:rPr>
                <w:sz w:val="24"/>
                <w:rtl/>
              </w:rPr>
              <w:t>המשך הליכים בבית משפט במסעדה</w:t>
            </w:r>
          </w:p>
        </w:tc>
        <w:tc>
          <w:tcPr>
            <w:tcW w:w="1247" w:type="dxa"/>
          </w:tcPr>
          <w:p w:rsidR="00D16A0E" w:rsidRDefault="00D16A0E">
            <w:pPr>
              <w:spacing w:line="240" w:lineRule="auto"/>
              <w:rPr>
                <w:sz w:val="24"/>
              </w:rPr>
            </w:pPr>
            <w:r>
              <w:rPr>
                <w:sz w:val="24"/>
                <w:rtl/>
              </w:rPr>
              <w:t xml:space="preserve">סעיף 2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01263">
              <w:rPr>
                <w:noProof/>
                <w:sz w:val="24"/>
                <w:rtl/>
              </w:rPr>
              <w:t>2</w:t>
            </w:r>
            <w:r>
              <w:rPr>
                <w:sz w:val="24"/>
                <w:rtl/>
              </w:rPr>
              <w:fldChar w:fldCharType="end"/>
            </w:r>
          </w:p>
        </w:tc>
        <w:tc>
          <w:tcPr>
            <w:tcW w:w="567" w:type="dxa"/>
          </w:tcPr>
          <w:p w:rsidR="00D16A0E" w:rsidRDefault="00D16A0E">
            <w:pPr>
              <w:spacing w:line="240" w:lineRule="auto"/>
              <w:rPr>
                <w:sz w:val="24"/>
              </w:rPr>
            </w:pPr>
            <w:hyperlink w:anchor="Seif2" w:tooltip="המשך הליכי ערעור" w:history="1">
              <w:r>
                <w:rPr>
                  <w:rStyle w:val="Hyperlink"/>
                </w:rPr>
                <w:t>Go</w:t>
              </w:r>
            </w:hyperlink>
          </w:p>
        </w:tc>
        <w:tc>
          <w:tcPr>
            <w:tcW w:w="5669" w:type="dxa"/>
          </w:tcPr>
          <w:p w:rsidR="00D16A0E" w:rsidRDefault="00D16A0E">
            <w:pPr>
              <w:spacing w:line="240" w:lineRule="auto"/>
              <w:rPr>
                <w:sz w:val="24"/>
                <w:rtl/>
              </w:rPr>
            </w:pPr>
            <w:r>
              <w:rPr>
                <w:sz w:val="24"/>
                <w:rtl/>
              </w:rPr>
              <w:t>המשך הליכי ערעור</w:t>
            </w:r>
          </w:p>
        </w:tc>
        <w:tc>
          <w:tcPr>
            <w:tcW w:w="1247" w:type="dxa"/>
          </w:tcPr>
          <w:p w:rsidR="00D16A0E" w:rsidRDefault="00D16A0E">
            <w:pPr>
              <w:spacing w:line="240" w:lineRule="auto"/>
              <w:rPr>
                <w:sz w:val="24"/>
              </w:rPr>
            </w:pPr>
            <w:r>
              <w:rPr>
                <w:sz w:val="24"/>
                <w:rtl/>
              </w:rPr>
              <w:t xml:space="preserve">סעיף 3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01263">
              <w:rPr>
                <w:noProof/>
                <w:sz w:val="24"/>
                <w:rtl/>
              </w:rPr>
              <w:t>2</w:t>
            </w:r>
            <w:r>
              <w:rPr>
                <w:sz w:val="24"/>
                <w:rtl/>
              </w:rPr>
              <w:fldChar w:fldCharType="end"/>
            </w:r>
          </w:p>
        </w:tc>
        <w:tc>
          <w:tcPr>
            <w:tcW w:w="567" w:type="dxa"/>
          </w:tcPr>
          <w:p w:rsidR="00D16A0E" w:rsidRDefault="00D16A0E">
            <w:pPr>
              <w:spacing w:line="240" w:lineRule="auto"/>
              <w:rPr>
                <w:sz w:val="24"/>
              </w:rPr>
            </w:pPr>
            <w:hyperlink w:anchor="Seif3" w:tooltip="ערעור חדש" w:history="1">
              <w:r>
                <w:rPr>
                  <w:rStyle w:val="Hyperlink"/>
                </w:rPr>
                <w:t>Go</w:t>
              </w:r>
            </w:hyperlink>
          </w:p>
        </w:tc>
        <w:tc>
          <w:tcPr>
            <w:tcW w:w="5669" w:type="dxa"/>
          </w:tcPr>
          <w:p w:rsidR="00D16A0E" w:rsidRDefault="00D16A0E">
            <w:pPr>
              <w:spacing w:line="240" w:lineRule="auto"/>
              <w:rPr>
                <w:sz w:val="24"/>
                <w:rtl/>
              </w:rPr>
            </w:pPr>
            <w:r>
              <w:rPr>
                <w:sz w:val="24"/>
                <w:rtl/>
              </w:rPr>
              <w:t>ערעור חדש</w:t>
            </w:r>
          </w:p>
        </w:tc>
        <w:tc>
          <w:tcPr>
            <w:tcW w:w="1247" w:type="dxa"/>
          </w:tcPr>
          <w:p w:rsidR="00D16A0E" w:rsidRDefault="00D16A0E">
            <w:pPr>
              <w:spacing w:line="240" w:lineRule="auto"/>
              <w:rPr>
                <w:sz w:val="24"/>
              </w:rPr>
            </w:pPr>
            <w:r>
              <w:rPr>
                <w:sz w:val="24"/>
                <w:rtl/>
              </w:rPr>
              <w:t xml:space="preserve">סעיף 4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01263">
              <w:rPr>
                <w:noProof/>
                <w:sz w:val="24"/>
                <w:rtl/>
              </w:rPr>
              <w:t>2</w:t>
            </w:r>
            <w:r>
              <w:rPr>
                <w:sz w:val="24"/>
                <w:rtl/>
              </w:rPr>
              <w:fldChar w:fldCharType="end"/>
            </w:r>
          </w:p>
        </w:tc>
        <w:tc>
          <w:tcPr>
            <w:tcW w:w="567" w:type="dxa"/>
          </w:tcPr>
          <w:p w:rsidR="00D16A0E" w:rsidRDefault="00D16A0E">
            <w:pPr>
              <w:spacing w:line="240" w:lineRule="auto"/>
              <w:rPr>
                <w:sz w:val="24"/>
              </w:rPr>
            </w:pPr>
            <w:hyperlink w:anchor="Seif4" w:tooltip="ביצוע פסק דין" w:history="1">
              <w:r>
                <w:rPr>
                  <w:rStyle w:val="Hyperlink"/>
                </w:rPr>
                <w:t>Go</w:t>
              </w:r>
            </w:hyperlink>
          </w:p>
        </w:tc>
        <w:tc>
          <w:tcPr>
            <w:tcW w:w="5669" w:type="dxa"/>
          </w:tcPr>
          <w:p w:rsidR="00D16A0E" w:rsidRDefault="00D16A0E">
            <w:pPr>
              <w:spacing w:line="240" w:lineRule="auto"/>
              <w:rPr>
                <w:sz w:val="24"/>
                <w:rtl/>
              </w:rPr>
            </w:pPr>
            <w:r>
              <w:rPr>
                <w:sz w:val="24"/>
                <w:rtl/>
              </w:rPr>
              <w:t>ביצוע פסק דין</w:t>
            </w:r>
          </w:p>
        </w:tc>
        <w:tc>
          <w:tcPr>
            <w:tcW w:w="1247" w:type="dxa"/>
          </w:tcPr>
          <w:p w:rsidR="00D16A0E" w:rsidRDefault="00D16A0E">
            <w:pPr>
              <w:spacing w:line="240" w:lineRule="auto"/>
              <w:rPr>
                <w:sz w:val="24"/>
              </w:rPr>
            </w:pPr>
            <w:r>
              <w:rPr>
                <w:sz w:val="24"/>
                <w:rtl/>
              </w:rPr>
              <w:t xml:space="preserve">סעיף 5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01263">
              <w:rPr>
                <w:noProof/>
                <w:sz w:val="24"/>
                <w:rtl/>
              </w:rPr>
              <w:t>2</w:t>
            </w:r>
            <w:r>
              <w:rPr>
                <w:sz w:val="24"/>
                <w:rtl/>
              </w:rPr>
              <w:fldChar w:fldCharType="end"/>
            </w:r>
          </w:p>
        </w:tc>
        <w:tc>
          <w:tcPr>
            <w:tcW w:w="567" w:type="dxa"/>
          </w:tcPr>
          <w:p w:rsidR="00D16A0E" w:rsidRDefault="00D16A0E">
            <w:pPr>
              <w:spacing w:line="240" w:lineRule="auto"/>
              <w:rPr>
                <w:sz w:val="24"/>
              </w:rPr>
            </w:pPr>
            <w:hyperlink w:anchor="Seif5" w:tooltip="המשכיות בהליכי הוצאה לפועל" w:history="1">
              <w:r>
                <w:rPr>
                  <w:rStyle w:val="Hyperlink"/>
                </w:rPr>
                <w:t>Go</w:t>
              </w:r>
            </w:hyperlink>
          </w:p>
        </w:tc>
        <w:tc>
          <w:tcPr>
            <w:tcW w:w="5669" w:type="dxa"/>
          </w:tcPr>
          <w:p w:rsidR="00D16A0E" w:rsidRDefault="00D16A0E">
            <w:pPr>
              <w:spacing w:line="240" w:lineRule="auto"/>
              <w:rPr>
                <w:sz w:val="24"/>
                <w:rtl/>
              </w:rPr>
            </w:pPr>
            <w:r>
              <w:rPr>
                <w:sz w:val="24"/>
                <w:rtl/>
              </w:rPr>
              <w:t>המשכיות בהליכי הוצאה לפועל</w:t>
            </w:r>
          </w:p>
        </w:tc>
        <w:tc>
          <w:tcPr>
            <w:tcW w:w="1247" w:type="dxa"/>
          </w:tcPr>
          <w:p w:rsidR="00D16A0E" w:rsidRDefault="00D16A0E">
            <w:pPr>
              <w:spacing w:line="240" w:lineRule="auto"/>
              <w:rPr>
                <w:sz w:val="24"/>
              </w:rPr>
            </w:pPr>
            <w:r>
              <w:rPr>
                <w:sz w:val="24"/>
                <w:rtl/>
              </w:rPr>
              <w:t xml:space="preserve">סעיף 5א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01263">
              <w:rPr>
                <w:noProof/>
                <w:sz w:val="24"/>
                <w:rtl/>
              </w:rPr>
              <w:t>2</w:t>
            </w:r>
            <w:r>
              <w:rPr>
                <w:sz w:val="24"/>
                <w:rtl/>
              </w:rPr>
              <w:fldChar w:fldCharType="end"/>
            </w:r>
          </w:p>
        </w:tc>
        <w:tc>
          <w:tcPr>
            <w:tcW w:w="567" w:type="dxa"/>
          </w:tcPr>
          <w:p w:rsidR="00D16A0E" w:rsidRDefault="00D16A0E">
            <w:pPr>
              <w:spacing w:line="240" w:lineRule="auto"/>
              <w:rPr>
                <w:sz w:val="24"/>
              </w:rPr>
            </w:pPr>
            <w:hyperlink w:anchor="Seif6" w:tooltip="המשך הליכים בבית משפט צבאי" w:history="1">
              <w:r>
                <w:rPr>
                  <w:rStyle w:val="Hyperlink"/>
                </w:rPr>
                <w:t>Go</w:t>
              </w:r>
            </w:hyperlink>
          </w:p>
        </w:tc>
        <w:tc>
          <w:tcPr>
            <w:tcW w:w="5669" w:type="dxa"/>
          </w:tcPr>
          <w:p w:rsidR="00D16A0E" w:rsidRDefault="00D16A0E">
            <w:pPr>
              <w:spacing w:line="240" w:lineRule="auto"/>
              <w:rPr>
                <w:sz w:val="24"/>
                <w:rtl/>
              </w:rPr>
            </w:pPr>
            <w:r>
              <w:rPr>
                <w:sz w:val="24"/>
                <w:rtl/>
              </w:rPr>
              <w:t>המשך הליכים בבית משפט צבאי</w:t>
            </w:r>
          </w:p>
        </w:tc>
        <w:tc>
          <w:tcPr>
            <w:tcW w:w="1247" w:type="dxa"/>
          </w:tcPr>
          <w:p w:rsidR="00D16A0E" w:rsidRDefault="00D16A0E">
            <w:pPr>
              <w:spacing w:line="240" w:lineRule="auto"/>
              <w:rPr>
                <w:sz w:val="24"/>
              </w:rPr>
            </w:pPr>
            <w:r>
              <w:rPr>
                <w:sz w:val="24"/>
                <w:rtl/>
              </w:rPr>
              <w:t xml:space="preserve">סעיף 5ב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01263">
              <w:rPr>
                <w:noProof/>
                <w:sz w:val="24"/>
                <w:rtl/>
              </w:rPr>
              <w:t>3</w:t>
            </w:r>
            <w:r>
              <w:rPr>
                <w:sz w:val="24"/>
                <w:rtl/>
              </w:rPr>
              <w:fldChar w:fldCharType="end"/>
            </w:r>
          </w:p>
        </w:tc>
        <w:tc>
          <w:tcPr>
            <w:tcW w:w="567" w:type="dxa"/>
          </w:tcPr>
          <w:p w:rsidR="00D16A0E" w:rsidRDefault="00D16A0E">
            <w:pPr>
              <w:spacing w:line="240" w:lineRule="auto"/>
              <w:rPr>
                <w:sz w:val="24"/>
              </w:rPr>
            </w:pPr>
            <w:hyperlink w:anchor="Seif7" w:tooltip="הפעלת מאסר על תנאי" w:history="1">
              <w:r>
                <w:rPr>
                  <w:rStyle w:val="Hyperlink"/>
                </w:rPr>
                <w:t>Go</w:t>
              </w:r>
            </w:hyperlink>
          </w:p>
        </w:tc>
        <w:tc>
          <w:tcPr>
            <w:tcW w:w="5669" w:type="dxa"/>
          </w:tcPr>
          <w:p w:rsidR="00D16A0E" w:rsidRDefault="00D16A0E">
            <w:pPr>
              <w:spacing w:line="240" w:lineRule="auto"/>
              <w:rPr>
                <w:sz w:val="24"/>
                <w:rtl/>
              </w:rPr>
            </w:pPr>
            <w:r>
              <w:rPr>
                <w:sz w:val="24"/>
                <w:rtl/>
              </w:rPr>
              <w:t>הפעלת מאסר על תנאי</w:t>
            </w:r>
          </w:p>
        </w:tc>
        <w:tc>
          <w:tcPr>
            <w:tcW w:w="1247" w:type="dxa"/>
          </w:tcPr>
          <w:p w:rsidR="00D16A0E" w:rsidRDefault="00D16A0E">
            <w:pPr>
              <w:spacing w:line="240" w:lineRule="auto"/>
              <w:rPr>
                <w:sz w:val="24"/>
              </w:rPr>
            </w:pPr>
            <w:r>
              <w:rPr>
                <w:sz w:val="24"/>
                <w:rtl/>
              </w:rPr>
              <w:t xml:space="preserve">סעיף 5ג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01263">
              <w:rPr>
                <w:noProof/>
                <w:sz w:val="24"/>
                <w:rtl/>
              </w:rPr>
              <w:t>3</w:t>
            </w:r>
            <w:r>
              <w:rPr>
                <w:sz w:val="24"/>
                <w:rtl/>
              </w:rPr>
              <w:fldChar w:fldCharType="end"/>
            </w:r>
          </w:p>
        </w:tc>
        <w:tc>
          <w:tcPr>
            <w:tcW w:w="567" w:type="dxa"/>
          </w:tcPr>
          <w:p w:rsidR="00D16A0E" w:rsidRDefault="00D16A0E">
            <w:pPr>
              <w:spacing w:line="240" w:lineRule="auto"/>
              <w:rPr>
                <w:sz w:val="24"/>
              </w:rPr>
            </w:pPr>
            <w:hyperlink w:anchor="Seif8" w:tooltip="המשכיות בכהונת קאדי מדהב" w:history="1">
              <w:r>
                <w:rPr>
                  <w:rStyle w:val="Hyperlink"/>
                </w:rPr>
                <w:t>Go</w:t>
              </w:r>
            </w:hyperlink>
          </w:p>
        </w:tc>
        <w:tc>
          <w:tcPr>
            <w:tcW w:w="5669" w:type="dxa"/>
          </w:tcPr>
          <w:p w:rsidR="00D16A0E" w:rsidRDefault="00D16A0E">
            <w:pPr>
              <w:spacing w:line="240" w:lineRule="auto"/>
              <w:rPr>
                <w:sz w:val="24"/>
                <w:rtl/>
              </w:rPr>
            </w:pPr>
            <w:r>
              <w:rPr>
                <w:sz w:val="24"/>
                <w:rtl/>
              </w:rPr>
              <w:t>המשכיות בכהונת קאדי מדהב</w:t>
            </w:r>
          </w:p>
        </w:tc>
        <w:tc>
          <w:tcPr>
            <w:tcW w:w="1247" w:type="dxa"/>
          </w:tcPr>
          <w:p w:rsidR="00D16A0E" w:rsidRDefault="00D16A0E">
            <w:pPr>
              <w:spacing w:line="240" w:lineRule="auto"/>
              <w:rPr>
                <w:sz w:val="24"/>
              </w:rPr>
            </w:pPr>
            <w:r>
              <w:rPr>
                <w:sz w:val="24"/>
                <w:rtl/>
              </w:rPr>
              <w:t xml:space="preserve">סעיף 5ד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01263">
              <w:rPr>
                <w:noProof/>
                <w:sz w:val="24"/>
                <w:rtl/>
              </w:rPr>
              <w:t>3</w:t>
            </w:r>
            <w:r>
              <w:rPr>
                <w:sz w:val="24"/>
                <w:rtl/>
              </w:rPr>
              <w:fldChar w:fldCharType="end"/>
            </w:r>
          </w:p>
        </w:tc>
        <w:tc>
          <w:tcPr>
            <w:tcW w:w="567" w:type="dxa"/>
          </w:tcPr>
          <w:p w:rsidR="00D16A0E" w:rsidRDefault="00D16A0E">
            <w:pPr>
              <w:spacing w:line="240" w:lineRule="auto"/>
              <w:rPr>
                <w:sz w:val="24"/>
              </w:rPr>
            </w:pPr>
            <w:hyperlink w:anchor="Seif9" w:tooltip="עיכוב הליכים" w:history="1">
              <w:r>
                <w:rPr>
                  <w:rStyle w:val="Hyperlink"/>
                </w:rPr>
                <w:t>Go</w:t>
              </w:r>
            </w:hyperlink>
          </w:p>
        </w:tc>
        <w:tc>
          <w:tcPr>
            <w:tcW w:w="5669" w:type="dxa"/>
          </w:tcPr>
          <w:p w:rsidR="00D16A0E" w:rsidRDefault="00D16A0E">
            <w:pPr>
              <w:spacing w:line="240" w:lineRule="auto"/>
              <w:rPr>
                <w:sz w:val="24"/>
                <w:rtl/>
              </w:rPr>
            </w:pPr>
            <w:r>
              <w:rPr>
                <w:sz w:val="24"/>
                <w:rtl/>
              </w:rPr>
              <w:t>עיכוב הליכים</w:t>
            </w:r>
          </w:p>
        </w:tc>
        <w:tc>
          <w:tcPr>
            <w:tcW w:w="1247" w:type="dxa"/>
          </w:tcPr>
          <w:p w:rsidR="00D16A0E" w:rsidRDefault="00D16A0E">
            <w:pPr>
              <w:spacing w:line="240" w:lineRule="auto"/>
              <w:rPr>
                <w:sz w:val="24"/>
              </w:rPr>
            </w:pPr>
            <w:r>
              <w:rPr>
                <w:sz w:val="24"/>
                <w:rtl/>
              </w:rPr>
              <w:t xml:space="preserve">סעיף 6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01263">
              <w:rPr>
                <w:noProof/>
                <w:sz w:val="24"/>
                <w:rtl/>
              </w:rPr>
              <w:t>3</w:t>
            </w:r>
            <w:r>
              <w:rPr>
                <w:sz w:val="24"/>
                <w:rtl/>
              </w:rPr>
              <w:fldChar w:fldCharType="end"/>
            </w:r>
          </w:p>
        </w:tc>
        <w:tc>
          <w:tcPr>
            <w:tcW w:w="567" w:type="dxa"/>
          </w:tcPr>
          <w:p w:rsidR="00D16A0E" w:rsidRDefault="00D16A0E">
            <w:pPr>
              <w:spacing w:line="240" w:lineRule="auto"/>
              <w:rPr>
                <w:sz w:val="24"/>
              </w:rPr>
            </w:pPr>
            <w:hyperlink w:anchor="Seif10" w:tooltip="מאסר קודם" w:history="1">
              <w:r>
                <w:rPr>
                  <w:rStyle w:val="Hyperlink"/>
                </w:rPr>
                <w:t>Go</w:t>
              </w:r>
            </w:hyperlink>
          </w:p>
        </w:tc>
        <w:tc>
          <w:tcPr>
            <w:tcW w:w="5669" w:type="dxa"/>
          </w:tcPr>
          <w:p w:rsidR="00D16A0E" w:rsidRDefault="00D16A0E">
            <w:pPr>
              <w:spacing w:line="240" w:lineRule="auto"/>
              <w:rPr>
                <w:sz w:val="24"/>
                <w:rtl/>
              </w:rPr>
            </w:pPr>
            <w:r>
              <w:rPr>
                <w:sz w:val="24"/>
                <w:rtl/>
              </w:rPr>
              <w:t>מאסר קודם</w:t>
            </w:r>
          </w:p>
        </w:tc>
        <w:tc>
          <w:tcPr>
            <w:tcW w:w="1247" w:type="dxa"/>
          </w:tcPr>
          <w:p w:rsidR="00D16A0E" w:rsidRDefault="00D16A0E">
            <w:pPr>
              <w:spacing w:line="240" w:lineRule="auto"/>
              <w:rPr>
                <w:sz w:val="24"/>
              </w:rPr>
            </w:pPr>
            <w:r>
              <w:rPr>
                <w:sz w:val="24"/>
                <w:rtl/>
              </w:rPr>
              <w:t xml:space="preserve">סעיף 7 </w:t>
            </w:r>
          </w:p>
        </w:tc>
      </w:tr>
      <w:tr w:rsidR="00D16A0E">
        <w:tblPrEx>
          <w:tblCellMar>
            <w:top w:w="0" w:type="dxa"/>
            <w:bottom w:w="0" w:type="dxa"/>
          </w:tblCellMar>
        </w:tblPrEx>
        <w:tc>
          <w:tcPr>
            <w:tcW w:w="850" w:type="dxa"/>
          </w:tcPr>
          <w:p w:rsidR="00D16A0E" w:rsidRDefault="00D16A0E">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01263">
              <w:rPr>
                <w:noProof/>
                <w:sz w:val="24"/>
                <w:rtl/>
              </w:rPr>
              <w:t>3</w:t>
            </w:r>
            <w:r>
              <w:rPr>
                <w:sz w:val="24"/>
                <w:rtl/>
              </w:rPr>
              <w:fldChar w:fldCharType="end"/>
            </w:r>
          </w:p>
        </w:tc>
        <w:tc>
          <w:tcPr>
            <w:tcW w:w="567" w:type="dxa"/>
          </w:tcPr>
          <w:p w:rsidR="00D16A0E" w:rsidRDefault="00D16A0E">
            <w:pPr>
              <w:spacing w:line="240" w:lineRule="auto"/>
              <w:rPr>
                <w:sz w:val="24"/>
              </w:rPr>
            </w:pPr>
            <w:hyperlink w:anchor="Seif11" w:tooltip="תחילה" w:history="1">
              <w:r>
                <w:rPr>
                  <w:rStyle w:val="Hyperlink"/>
                </w:rPr>
                <w:t>Go</w:t>
              </w:r>
            </w:hyperlink>
          </w:p>
        </w:tc>
        <w:tc>
          <w:tcPr>
            <w:tcW w:w="5669" w:type="dxa"/>
          </w:tcPr>
          <w:p w:rsidR="00D16A0E" w:rsidRDefault="00D16A0E">
            <w:pPr>
              <w:spacing w:line="240" w:lineRule="auto"/>
              <w:rPr>
                <w:sz w:val="24"/>
                <w:rtl/>
              </w:rPr>
            </w:pPr>
            <w:r>
              <w:rPr>
                <w:sz w:val="24"/>
                <w:rtl/>
              </w:rPr>
              <w:t>תחילה</w:t>
            </w:r>
          </w:p>
        </w:tc>
        <w:tc>
          <w:tcPr>
            <w:tcW w:w="1247" w:type="dxa"/>
          </w:tcPr>
          <w:p w:rsidR="00D16A0E" w:rsidRDefault="00D16A0E">
            <w:pPr>
              <w:spacing w:line="240" w:lineRule="auto"/>
              <w:rPr>
                <w:sz w:val="24"/>
              </w:rPr>
            </w:pPr>
            <w:r>
              <w:rPr>
                <w:sz w:val="24"/>
                <w:rtl/>
              </w:rPr>
              <w:t xml:space="preserve">סעיף 8 </w:t>
            </w:r>
          </w:p>
        </w:tc>
      </w:tr>
    </w:tbl>
    <w:p w:rsidR="00D16A0E" w:rsidRDefault="00D16A0E">
      <w:pPr>
        <w:pStyle w:val="big-header"/>
        <w:ind w:left="0" w:right="1134"/>
        <w:rPr>
          <w:rFonts w:cs="FrankRuehl"/>
          <w:sz w:val="32"/>
          <w:rtl/>
        </w:rPr>
      </w:pPr>
    </w:p>
    <w:p w:rsidR="00D16A0E" w:rsidRDefault="00D16A0E" w:rsidP="000F0B1D">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רמת הגולן (הליכי משפט) (הוראות מעבר), תשמ"ב</w:t>
      </w:r>
      <w:r w:rsidR="00801263">
        <w:rPr>
          <w:rFonts w:cs="FrankRuehl" w:hint="cs"/>
          <w:sz w:val="32"/>
          <w:rtl/>
        </w:rPr>
        <w:t>-</w:t>
      </w:r>
      <w:r>
        <w:rPr>
          <w:rFonts w:cs="FrankRuehl"/>
          <w:sz w:val="32"/>
          <w:rtl/>
        </w:rPr>
        <w:t>1981</w:t>
      </w:r>
      <w:r w:rsidR="00801263">
        <w:rPr>
          <w:rStyle w:val="a6"/>
          <w:rFonts w:cs="FrankRuehl"/>
          <w:sz w:val="32"/>
          <w:rtl/>
        </w:rPr>
        <w:footnoteReference w:customMarkFollows="1" w:id="1"/>
        <w:t>*</w:t>
      </w:r>
    </w:p>
    <w:p w:rsidR="00D16A0E" w:rsidRDefault="00D16A0E" w:rsidP="0080126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 לחוק רמת הגולן, תשמ"ב</w:t>
      </w:r>
      <w:r w:rsidR="00801263">
        <w:rPr>
          <w:rStyle w:val="default"/>
          <w:rFonts w:cs="FrankRuehl" w:hint="cs"/>
          <w:rtl/>
        </w:rPr>
        <w:t>-</w:t>
      </w:r>
      <w:r>
        <w:rPr>
          <w:rStyle w:val="default"/>
          <w:rFonts w:cs="FrankRuehl"/>
          <w:rtl/>
        </w:rPr>
        <w:t>1981 (</w:t>
      </w:r>
      <w:r>
        <w:rPr>
          <w:rStyle w:val="default"/>
          <w:rFonts w:cs="FrankRuehl" w:hint="cs"/>
          <w:rtl/>
        </w:rPr>
        <w:t xml:space="preserve">להלן </w:t>
      </w:r>
      <w:r w:rsidR="00801263">
        <w:rPr>
          <w:rStyle w:val="default"/>
          <w:rFonts w:cs="FrankRuehl" w:hint="cs"/>
          <w:rtl/>
        </w:rPr>
        <w:t>-</w:t>
      </w:r>
      <w:r>
        <w:rPr>
          <w:rStyle w:val="default"/>
          <w:rFonts w:cs="FrankRuehl"/>
          <w:rtl/>
        </w:rPr>
        <w:t xml:space="preserve"> </w:t>
      </w:r>
      <w:r>
        <w:rPr>
          <w:rStyle w:val="default"/>
          <w:rFonts w:cs="FrankRuehl" w:hint="cs"/>
          <w:rtl/>
        </w:rPr>
        <w:t>החוק), ובהתייעצות עם שר המשפטים, אני מתקין תקנות אלה:</w:t>
      </w:r>
    </w:p>
    <w:p w:rsidR="00D16A0E" w:rsidRDefault="00D16A0E">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45pt;z-index:251652096" o:allowincell="f" filled="f" stroked="f" strokecolor="lime" strokeweight=".25pt">
            <v:textbox inset="0,0,0,0">
              <w:txbxContent>
                <w:p w:rsidR="00D16A0E" w:rsidRDefault="00D16A0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01263">
        <w:rPr>
          <w:rStyle w:val="default"/>
          <w:rFonts w:cs="FrankRuehl"/>
          <w:rtl/>
        </w:rPr>
        <w:t>–</w:t>
      </w:r>
    </w:p>
    <w:p w:rsidR="00D16A0E" w:rsidRDefault="00D16A0E" w:rsidP="0080126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צו" </w:t>
      </w:r>
      <w:r w:rsidR="00801263">
        <w:rPr>
          <w:rStyle w:val="default"/>
          <w:rFonts w:cs="FrankRuehl" w:hint="cs"/>
          <w:rtl/>
        </w:rPr>
        <w:t>-</w:t>
      </w:r>
      <w:r>
        <w:rPr>
          <w:rStyle w:val="default"/>
          <w:rFonts w:cs="FrankRuehl"/>
          <w:rtl/>
        </w:rPr>
        <w:t xml:space="preserve"> </w:t>
      </w:r>
      <w:r>
        <w:rPr>
          <w:rStyle w:val="default"/>
          <w:rFonts w:cs="FrankRuehl" w:hint="cs"/>
          <w:rtl/>
        </w:rPr>
        <w:t>צו בדבר בתי משפט (רמת הגולן) (מס' 273</w:t>
      </w:r>
      <w:r>
        <w:rPr>
          <w:rStyle w:val="default"/>
          <w:rFonts w:cs="FrankRuehl"/>
          <w:rtl/>
        </w:rPr>
        <w:t>), ת</w:t>
      </w:r>
      <w:r>
        <w:rPr>
          <w:rStyle w:val="default"/>
          <w:rFonts w:cs="FrankRuehl" w:hint="cs"/>
          <w:rtl/>
        </w:rPr>
        <w:t>של"ג</w:t>
      </w:r>
      <w:r w:rsidR="00801263">
        <w:rPr>
          <w:rStyle w:val="default"/>
          <w:rFonts w:cs="FrankRuehl" w:hint="cs"/>
          <w:rtl/>
        </w:rPr>
        <w:t>-</w:t>
      </w:r>
      <w:r>
        <w:rPr>
          <w:rStyle w:val="default"/>
          <w:rFonts w:cs="FrankRuehl"/>
          <w:rtl/>
        </w:rPr>
        <w:t xml:space="preserve">1972, </w:t>
      </w:r>
      <w:r>
        <w:rPr>
          <w:rStyle w:val="default"/>
          <w:rFonts w:cs="FrankRuehl" w:hint="cs"/>
          <w:rtl/>
        </w:rPr>
        <w:t>שהוציא מפקד כוחות צה"ל באיזור רמת הגולן.</w:t>
      </w:r>
    </w:p>
    <w:p w:rsidR="00D16A0E" w:rsidRDefault="00D16A0E" w:rsidP="008012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המשפט" ו"בית המשפט לערעורים" </w:t>
      </w:r>
      <w:r w:rsidR="00801263">
        <w:rPr>
          <w:rStyle w:val="default"/>
          <w:rFonts w:cs="FrankRuehl" w:hint="cs"/>
          <w:rtl/>
        </w:rPr>
        <w:t>-</w:t>
      </w:r>
      <w:r>
        <w:rPr>
          <w:rStyle w:val="default"/>
          <w:rFonts w:cs="FrankRuehl"/>
          <w:rtl/>
        </w:rPr>
        <w:t xml:space="preserve"> </w:t>
      </w:r>
      <w:r>
        <w:rPr>
          <w:rStyle w:val="default"/>
          <w:rFonts w:cs="FrankRuehl" w:hint="cs"/>
          <w:rtl/>
        </w:rPr>
        <w:t>כמשמעותם בצו.</w:t>
      </w:r>
    </w:p>
    <w:p w:rsidR="00D16A0E" w:rsidRDefault="00D16A0E">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4pt;z-index:251653120" o:allowincell="f" filled="f" stroked="f" strokecolor="lime" strokeweight=".25pt">
            <v:textbox inset="0,0,0,0">
              <w:txbxContent>
                <w:p w:rsidR="00D16A0E" w:rsidRDefault="00D16A0E" w:rsidP="00801263">
                  <w:pPr>
                    <w:spacing w:line="160" w:lineRule="exact"/>
                    <w:jc w:val="left"/>
                    <w:rPr>
                      <w:rFonts w:cs="Miriam"/>
                      <w:noProof/>
                      <w:sz w:val="18"/>
                      <w:szCs w:val="18"/>
                      <w:rtl/>
                    </w:rPr>
                  </w:pPr>
                  <w:r>
                    <w:rPr>
                      <w:rFonts w:cs="Miriam"/>
                      <w:sz w:val="18"/>
                      <w:szCs w:val="18"/>
                      <w:rtl/>
                    </w:rPr>
                    <w:t>המ</w:t>
                  </w:r>
                  <w:r>
                    <w:rPr>
                      <w:rFonts w:cs="Miriam" w:hint="cs"/>
                      <w:sz w:val="18"/>
                      <w:szCs w:val="18"/>
                      <w:rtl/>
                    </w:rPr>
                    <w:t>שך הליכים</w:t>
                  </w:r>
                  <w:r w:rsidR="00801263">
                    <w:rPr>
                      <w:rFonts w:cs="Miriam" w:hint="cs"/>
                      <w:sz w:val="18"/>
                      <w:szCs w:val="18"/>
                      <w:rtl/>
                    </w:rPr>
                    <w:t xml:space="preserve"> </w:t>
                  </w:r>
                  <w:r>
                    <w:rPr>
                      <w:rFonts w:cs="Miriam"/>
                      <w:sz w:val="18"/>
                      <w:szCs w:val="18"/>
                      <w:rtl/>
                    </w:rPr>
                    <w:t>בב</w:t>
                  </w:r>
                  <w:r>
                    <w:rPr>
                      <w:rFonts w:cs="Miriam" w:hint="cs"/>
                      <w:sz w:val="18"/>
                      <w:szCs w:val="18"/>
                      <w:rtl/>
                    </w:rPr>
                    <w:t>ית משפט</w:t>
                  </w:r>
                  <w:r w:rsidR="00801263">
                    <w:rPr>
                      <w:rFonts w:cs="Miriam" w:hint="cs"/>
                      <w:noProof/>
                      <w:sz w:val="18"/>
                      <w:szCs w:val="18"/>
                      <w:rtl/>
                    </w:rPr>
                    <w:t xml:space="preserve"> </w:t>
                  </w:r>
                  <w:r>
                    <w:rPr>
                      <w:rFonts w:cs="Miriam"/>
                      <w:sz w:val="18"/>
                      <w:szCs w:val="18"/>
                      <w:rtl/>
                    </w:rPr>
                    <w:t>במ</w:t>
                  </w:r>
                  <w:r>
                    <w:rPr>
                      <w:rFonts w:cs="Miriam" w:hint="cs"/>
                      <w:sz w:val="18"/>
                      <w:szCs w:val="18"/>
                      <w:rtl/>
                    </w:rPr>
                    <w:t>סעדה</w:t>
                  </w:r>
                </w:p>
              </w:txbxContent>
            </v:textbox>
            <w10:anchorlock/>
          </v:rect>
        </w:pict>
      </w:r>
      <w:r>
        <w:rPr>
          <w:rStyle w:val="big-number"/>
          <w:rFonts w:cs="Miriam"/>
          <w:rtl/>
        </w:rPr>
        <w:t>2.</w:t>
      </w:r>
      <w:r>
        <w:rPr>
          <w:rStyle w:val="big-number"/>
          <w:rFonts w:cs="Miriam"/>
          <w:rtl/>
        </w:rPr>
        <w:tab/>
      </w:r>
      <w:r>
        <w:rPr>
          <w:rStyle w:val="default"/>
          <w:rFonts w:cs="FrankRuehl"/>
          <w:rtl/>
        </w:rPr>
        <w:t>הי</w:t>
      </w:r>
      <w:r>
        <w:rPr>
          <w:rStyle w:val="default"/>
          <w:rFonts w:cs="FrankRuehl" w:hint="cs"/>
          <w:rtl/>
        </w:rPr>
        <w:t>ה ענין אזרחי או פלילי תלוי ועומד לפני תחילת החוק בבית המשפט, ידון בו בית משפט השלום במסעדה, והוא רשאי לדון בו מן השלב שאל</w:t>
      </w:r>
      <w:r>
        <w:rPr>
          <w:rStyle w:val="default"/>
          <w:rFonts w:cs="FrankRuehl"/>
          <w:rtl/>
        </w:rPr>
        <w:t>י</w:t>
      </w:r>
      <w:r>
        <w:rPr>
          <w:rStyle w:val="default"/>
          <w:rFonts w:cs="FrankRuehl" w:hint="cs"/>
          <w:rtl/>
        </w:rPr>
        <w:t>ו הגיע בית המשפט.</w:t>
      </w:r>
    </w:p>
    <w:p w:rsidR="00D16A0E" w:rsidRDefault="00D16A0E">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4144" o:allowincell="f" filled="f" stroked="f" strokecolor="lime" strokeweight=".25pt">
            <v:textbox inset="0,0,0,0">
              <w:txbxContent>
                <w:p w:rsidR="00D16A0E" w:rsidRDefault="00D16A0E" w:rsidP="00801263">
                  <w:pPr>
                    <w:spacing w:line="160" w:lineRule="exact"/>
                    <w:jc w:val="left"/>
                    <w:rPr>
                      <w:rFonts w:cs="Miriam"/>
                      <w:noProof/>
                      <w:sz w:val="18"/>
                      <w:szCs w:val="18"/>
                      <w:rtl/>
                    </w:rPr>
                  </w:pPr>
                  <w:r>
                    <w:rPr>
                      <w:rFonts w:cs="Miriam"/>
                      <w:sz w:val="18"/>
                      <w:szCs w:val="18"/>
                      <w:rtl/>
                    </w:rPr>
                    <w:t>המ</w:t>
                  </w:r>
                  <w:r>
                    <w:rPr>
                      <w:rFonts w:cs="Miriam" w:hint="cs"/>
                      <w:sz w:val="18"/>
                      <w:szCs w:val="18"/>
                      <w:rtl/>
                    </w:rPr>
                    <w:t>שך הליכי</w:t>
                  </w:r>
                  <w:r w:rsidR="00801263">
                    <w:rPr>
                      <w:rFonts w:cs="Miriam" w:hint="cs"/>
                      <w:sz w:val="18"/>
                      <w:szCs w:val="18"/>
                      <w:rtl/>
                    </w:rPr>
                    <w:t xml:space="preserve"> </w:t>
                  </w:r>
                  <w:r>
                    <w:rPr>
                      <w:rFonts w:cs="Miriam"/>
                      <w:sz w:val="18"/>
                      <w:szCs w:val="18"/>
                      <w:rtl/>
                    </w:rPr>
                    <w:t>ער</w:t>
                  </w:r>
                  <w:r>
                    <w:rPr>
                      <w:rFonts w:cs="Miriam" w:hint="cs"/>
                      <w:sz w:val="18"/>
                      <w:szCs w:val="18"/>
                      <w:rtl/>
                    </w:rPr>
                    <w:t>עור</w:t>
                  </w:r>
                </w:p>
              </w:txbxContent>
            </v:textbox>
            <w10:anchorlock/>
          </v:rect>
        </w:pict>
      </w:r>
      <w:r>
        <w:rPr>
          <w:rStyle w:val="big-number"/>
          <w:rFonts w:cs="Miriam"/>
          <w:rtl/>
        </w:rPr>
        <w:t>3.</w:t>
      </w:r>
      <w:r>
        <w:rPr>
          <w:rStyle w:val="big-number"/>
          <w:rFonts w:cs="Miriam"/>
          <w:rtl/>
        </w:rPr>
        <w:tab/>
      </w:r>
      <w:r>
        <w:rPr>
          <w:rStyle w:val="default"/>
          <w:rFonts w:cs="FrankRuehl"/>
          <w:rtl/>
        </w:rPr>
        <w:t>הי</w:t>
      </w:r>
      <w:r>
        <w:rPr>
          <w:rStyle w:val="default"/>
          <w:rFonts w:cs="FrankRuehl" w:hint="cs"/>
          <w:rtl/>
        </w:rPr>
        <w:t>ה ערעור על פסק הדין של בית משפט תלוי ועומד לפני תחילת החוק בבית המשפט לערעורים ידון בו בית המשפט המחוזי בנצרת, והוא רשאי לדון בו מן השלב שאליו הגיע בית המשפט לערעורים.</w:t>
      </w:r>
    </w:p>
    <w:p w:rsidR="00D16A0E" w:rsidRDefault="00D16A0E">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5.85pt;z-index:251655168" o:allowincell="f" filled="f" stroked="f" strokecolor="lime" strokeweight=".25pt">
            <v:textbox inset="0,0,0,0">
              <w:txbxContent>
                <w:p w:rsidR="00D16A0E" w:rsidRDefault="00D16A0E">
                  <w:pPr>
                    <w:spacing w:line="160" w:lineRule="exact"/>
                    <w:jc w:val="left"/>
                    <w:rPr>
                      <w:rFonts w:cs="Miriam"/>
                      <w:noProof/>
                      <w:sz w:val="18"/>
                      <w:szCs w:val="18"/>
                      <w:rtl/>
                    </w:rPr>
                  </w:pPr>
                  <w:r>
                    <w:rPr>
                      <w:rFonts w:cs="Miriam"/>
                      <w:sz w:val="18"/>
                      <w:szCs w:val="18"/>
                      <w:rtl/>
                    </w:rPr>
                    <w:t>ער</w:t>
                  </w:r>
                  <w:r>
                    <w:rPr>
                      <w:rFonts w:cs="Miriam" w:hint="cs"/>
                      <w:sz w:val="18"/>
                      <w:szCs w:val="18"/>
                      <w:rtl/>
                    </w:rPr>
                    <w:t>עור חדש</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סק דין שנתן בית המשפט ל</w:t>
      </w:r>
      <w:r>
        <w:rPr>
          <w:rStyle w:val="default"/>
          <w:rFonts w:cs="FrankRuehl"/>
          <w:rtl/>
        </w:rPr>
        <w:t>פ</w:t>
      </w:r>
      <w:r>
        <w:rPr>
          <w:rStyle w:val="default"/>
          <w:rFonts w:cs="FrankRuehl" w:hint="cs"/>
          <w:rtl/>
        </w:rPr>
        <w:t>ני תחילת החוק, וטרם חלף המועד שנקבע בצו להגשת ערעור</w:t>
      </w:r>
      <w:r>
        <w:rPr>
          <w:rStyle w:val="default"/>
          <w:rFonts w:cs="FrankRuehl"/>
          <w:rtl/>
        </w:rPr>
        <w:t>, נ</w:t>
      </w:r>
      <w:r>
        <w:rPr>
          <w:rStyle w:val="default"/>
          <w:rFonts w:cs="FrankRuehl" w:hint="cs"/>
          <w:rtl/>
        </w:rPr>
        <w:t>יתן לערעור בתוך המועד האמור בפני בית המשפט המחוזי בנצרת.</w:t>
      </w:r>
    </w:p>
    <w:p w:rsidR="00D16A0E" w:rsidRDefault="00D16A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סק דין שנתן בית משפט השלום במסעדה בענין כאמור בסעיף 2 ניתן לערעור בפני בית המשפט המחוזי בנצרת.</w:t>
      </w:r>
    </w:p>
    <w:p w:rsidR="00D16A0E" w:rsidRDefault="00D16A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ין ערעורים כאמור בסעיף זה, לכל דבר וענין, כדין ערעורים על פסק דין של בית משפט שלום.</w:t>
      </w:r>
    </w:p>
    <w:p w:rsidR="00D16A0E" w:rsidRDefault="00D16A0E">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3.3pt;z-index:251656192" o:allowincell="f" filled="f" stroked="f" strokecolor="lime" strokeweight=".25pt">
            <v:textbox inset="0,0,0,0">
              <w:txbxContent>
                <w:p w:rsidR="00D16A0E" w:rsidRDefault="00D16A0E">
                  <w:pPr>
                    <w:spacing w:line="160" w:lineRule="exact"/>
                    <w:jc w:val="left"/>
                    <w:rPr>
                      <w:rFonts w:cs="Miriam"/>
                      <w:noProof/>
                      <w:sz w:val="18"/>
                      <w:szCs w:val="18"/>
                      <w:rtl/>
                    </w:rPr>
                  </w:pPr>
                  <w:r>
                    <w:rPr>
                      <w:rFonts w:cs="Miriam"/>
                      <w:sz w:val="18"/>
                      <w:szCs w:val="18"/>
                      <w:rtl/>
                    </w:rPr>
                    <w:t>בי</w:t>
                  </w:r>
                  <w:r>
                    <w:rPr>
                      <w:rFonts w:cs="Miriam" w:hint="cs"/>
                      <w:sz w:val="18"/>
                      <w:szCs w:val="18"/>
                      <w:rtl/>
                    </w:rPr>
                    <w:t>צוע פסק דין</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פ</w:t>
      </w:r>
      <w:r>
        <w:rPr>
          <w:rStyle w:val="default"/>
          <w:rFonts w:cs="FrankRuehl" w:hint="cs"/>
          <w:rtl/>
        </w:rPr>
        <w:t>סק דין אזרחי שנתנו בית המשפט או בית המשפט לערעורים לפני תחילת החוק ניתן להוצאה לפועל כפסק דין של בית משפט בישראל.</w:t>
      </w:r>
    </w:p>
    <w:p w:rsidR="00D16A0E" w:rsidRDefault="00D16A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סק דין פלילי שנתנו בית המשפט או בית המשפט לערעורים לפני תחילת החוק ניתן לביצוע כפסק דין של בית משפט בישראל.</w:t>
      </w:r>
    </w:p>
    <w:p w:rsidR="00D16A0E" w:rsidRDefault="00D16A0E">
      <w:pPr>
        <w:pStyle w:val="P00"/>
        <w:spacing w:before="72"/>
        <w:ind w:left="0" w:right="1134"/>
        <w:rPr>
          <w:rStyle w:val="default"/>
          <w:rFonts w:cs="FrankRuehl" w:hint="cs"/>
          <w:rtl/>
        </w:rPr>
      </w:pPr>
      <w:bookmarkStart w:id="5" w:name="Seif5"/>
      <w:bookmarkEnd w:id="5"/>
      <w:r>
        <w:rPr>
          <w:lang w:val="he-IL"/>
        </w:rPr>
        <w:pict>
          <v:rect id="_x0000_s1031" style="position:absolute;left:0;text-align:left;margin-left:464.5pt;margin-top:8.05pt;width:75.05pt;height:29.2pt;z-index:251657216" o:allowincell="f" filled="f" stroked="f" strokecolor="lime" strokeweight=".25pt">
            <v:textbox inset="0,0,0,0">
              <w:txbxContent>
                <w:p w:rsidR="00D16A0E" w:rsidRDefault="00D16A0E">
                  <w:pPr>
                    <w:spacing w:line="160" w:lineRule="exact"/>
                    <w:jc w:val="left"/>
                    <w:rPr>
                      <w:rFonts w:cs="Miriam"/>
                      <w:noProof/>
                      <w:sz w:val="18"/>
                      <w:szCs w:val="18"/>
                      <w:rtl/>
                    </w:rPr>
                  </w:pPr>
                  <w:r>
                    <w:rPr>
                      <w:rFonts w:cs="Miriam"/>
                      <w:sz w:val="18"/>
                      <w:szCs w:val="18"/>
                      <w:rtl/>
                    </w:rPr>
                    <w:t>המ</w:t>
                  </w:r>
                  <w:r>
                    <w:rPr>
                      <w:rFonts w:cs="Miriam" w:hint="cs"/>
                      <w:sz w:val="18"/>
                      <w:szCs w:val="18"/>
                      <w:rtl/>
                    </w:rPr>
                    <w:t>שכיות בהליכי הוצאה לפועל</w:t>
                  </w:r>
                </w:p>
                <w:p w:rsidR="00D16A0E" w:rsidRDefault="00D16A0E" w:rsidP="00801263">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801263">
                    <w:rPr>
                      <w:rFonts w:cs="Miriam" w:hint="cs"/>
                      <w:sz w:val="18"/>
                      <w:szCs w:val="18"/>
                      <w:rtl/>
                    </w:rPr>
                    <w:t>-</w:t>
                  </w:r>
                  <w:r>
                    <w:rPr>
                      <w:rFonts w:cs="Miriam"/>
                      <w:sz w:val="18"/>
                      <w:szCs w:val="18"/>
                      <w:rtl/>
                    </w:rPr>
                    <w:t>1982</w:t>
                  </w:r>
                </w:p>
              </w:txbxContent>
            </v:textbox>
            <w10:anchorlock/>
          </v:rect>
        </w:pict>
      </w:r>
      <w:r>
        <w:rPr>
          <w:rStyle w:val="big-number"/>
          <w:rFonts w:cs="Miriam"/>
          <w:rtl/>
        </w:rPr>
        <w:t>5</w:t>
      </w:r>
      <w:r>
        <w:rPr>
          <w:rStyle w:val="default"/>
          <w:rFonts w:cs="FrankRuehl"/>
          <w:rtl/>
        </w:rPr>
        <w:t>א.</w:t>
      </w:r>
      <w:r>
        <w:rPr>
          <w:rStyle w:val="default"/>
          <w:rFonts w:cs="FrankRuehl"/>
          <w:rtl/>
        </w:rPr>
        <w:tab/>
        <w:t>ה</w:t>
      </w:r>
      <w:r>
        <w:rPr>
          <w:rStyle w:val="default"/>
          <w:rFonts w:cs="FrankRuehl" w:hint="cs"/>
          <w:rtl/>
        </w:rPr>
        <w:t>יה הליך תלוי ועומ</w:t>
      </w:r>
      <w:r>
        <w:rPr>
          <w:rStyle w:val="default"/>
          <w:rFonts w:cs="FrankRuehl"/>
          <w:rtl/>
        </w:rPr>
        <w:t xml:space="preserve">ד </w:t>
      </w:r>
      <w:r>
        <w:rPr>
          <w:rStyle w:val="default"/>
          <w:rFonts w:cs="FrankRuehl" w:hint="cs"/>
          <w:rtl/>
        </w:rPr>
        <w:t>לפני תחילת החוק בלשכת ההוצאה לפועל שהוקמה לפי הצו, תמשיך בו לשכת ההוצאה לפועל שליד בית משפט השלום במסעדה.</w:t>
      </w:r>
    </w:p>
    <w:p w:rsidR="005F37D8" w:rsidRPr="00801263" w:rsidRDefault="005F37D8" w:rsidP="005F37D8">
      <w:pPr>
        <w:pStyle w:val="P00"/>
        <w:spacing w:before="0"/>
        <w:ind w:left="0" w:right="1134"/>
        <w:rPr>
          <w:rFonts w:cs="FrankRuehl" w:hint="cs"/>
          <w:vanish/>
          <w:color w:val="FF0000"/>
          <w:szCs w:val="20"/>
          <w:shd w:val="clear" w:color="auto" w:fill="FFFF99"/>
          <w:rtl/>
        </w:rPr>
      </w:pPr>
      <w:bookmarkStart w:id="6" w:name="Rov15"/>
      <w:r w:rsidRPr="00801263">
        <w:rPr>
          <w:rFonts w:cs="FrankRuehl" w:hint="cs"/>
          <w:vanish/>
          <w:color w:val="FF0000"/>
          <w:szCs w:val="20"/>
          <w:shd w:val="clear" w:color="auto" w:fill="FFFF99"/>
          <w:rtl/>
        </w:rPr>
        <w:t>מיום 17.1.1982</w:t>
      </w:r>
    </w:p>
    <w:p w:rsidR="005F37D8" w:rsidRPr="00801263" w:rsidRDefault="005F37D8" w:rsidP="005F37D8">
      <w:pPr>
        <w:pStyle w:val="P00"/>
        <w:spacing w:before="0"/>
        <w:ind w:left="0" w:right="1134"/>
        <w:rPr>
          <w:rStyle w:val="default"/>
          <w:rFonts w:cs="FrankRuehl" w:hint="cs"/>
          <w:b/>
          <w:bCs/>
          <w:vanish/>
          <w:sz w:val="20"/>
          <w:szCs w:val="20"/>
          <w:shd w:val="clear" w:color="auto" w:fill="FFFF99"/>
          <w:rtl/>
        </w:rPr>
      </w:pPr>
      <w:r w:rsidRPr="00801263">
        <w:rPr>
          <w:rFonts w:cs="FrankRuehl" w:hint="cs"/>
          <w:b/>
          <w:bCs/>
          <w:vanish/>
          <w:szCs w:val="20"/>
          <w:shd w:val="clear" w:color="auto" w:fill="FFFF99"/>
          <w:rtl/>
        </w:rPr>
        <w:t>תק' תשמ"ב-1982</w:t>
      </w:r>
    </w:p>
    <w:p w:rsidR="005F37D8" w:rsidRPr="00801263" w:rsidRDefault="005F37D8" w:rsidP="005F37D8">
      <w:pPr>
        <w:pStyle w:val="P00"/>
        <w:spacing w:before="0"/>
        <w:ind w:left="0" w:right="1134"/>
        <w:rPr>
          <w:rFonts w:cs="FrankRuehl" w:hint="cs"/>
          <w:vanish/>
          <w:szCs w:val="20"/>
          <w:shd w:val="clear" w:color="auto" w:fill="FFFF99"/>
          <w:rtl/>
        </w:rPr>
      </w:pPr>
      <w:hyperlink r:id="rId6" w:history="1">
        <w:r w:rsidRPr="00801263">
          <w:rPr>
            <w:rStyle w:val="Hyperlink"/>
            <w:rFonts w:cs="FrankRuehl" w:hint="cs"/>
            <w:vanish/>
            <w:szCs w:val="20"/>
            <w:shd w:val="clear" w:color="auto" w:fill="FFFF99"/>
            <w:rtl/>
          </w:rPr>
          <w:t>ק"ת תשמ"ב מס' 4308</w:t>
        </w:r>
      </w:hyperlink>
      <w:r w:rsidRPr="00801263">
        <w:rPr>
          <w:rFonts w:cs="FrankRuehl" w:hint="cs"/>
          <w:vanish/>
          <w:szCs w:val="20"/>
          <w:shd w:val="clear" w:color="auto" w:fill="FFFF99"/>
          <w:rtl/>
        </w:rPr>
        <w:t xml:space="preserve"> מיום 17.1.1982 עמ' 506</w:t>
      </w:r>
    </w:p>
    <w:p w:rsidR="005F37D8" w:rsidRPr="00AD77BE" w:rsidRDefault="005F37D8" w:rsidP="00AD77BE">
      <w:pPr>
        <w:pStyle w:val="P00"/>
        <w:spacing w:before="0"/>
        <w:ind w:left="0" w:right="1134"/>
        <w:rPr>
          <w:rStyle w:val="default"/>
          <w:rFonts w:cs="FrankRuehl" w:hint="cs"/>
          <w:b/>
          <w:bCs/>
          <w:sz w:val="2"/>
          <w:szCs w:val="2"/>
          <w:rtl/>
        </w:rPr>
      </w:pPr>
      <w:r w:rsidRPr="00801263">
        <w:rPr>
          <w:rFonts w:cs="FrankRuehl" w:hint="cs"/>
          <w:b/>
          <w:bCs/>
          <w:vanish/>
          <w:szCs w:val="20"/>
          <w:shd w:val="clear" w:color="auto" w:fill="FFFF99"/>
          <w:rtl/>
        </w:rPr>
        <w:t>הוספת תקנה 5א</w:t>
      </w:r>
      <w:bookmarkEnd w:id="6"/>
    </w:p>
    <w:p w:rsidR="00D16A0E" w:rsidRDefault="00D16A0E" w:rsidP="00801263">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45.85pt;z-index:251658240" o:allowincell="f" filled="f" stroked="f" strokecolor="lime" strokeweight=".25pt">
            <v:textbox inset="0,0,0,0">
              <w:txbxContent>
                <w:p w:rsidR="00D16A0E" w:rsidRDefault="00D16A0E">
                  <w:pPr>
                    <w:spacing w:line="160" w:lineRule="exact"/>
                    <w:jc w:val="left"/>
                    <w:rPr>
                      <w:rFonts w:cs="Miriam"/>
                      <w:noProof/>
                      <w:sz w:val="18"/>
                      <w:szCs w:val="18"/>
                      <w:rtl/>
                    </w:rPr>
                  </w:pPr>
                  <w:r>
                    <w:rPr>
                      <w:rFonts w:cs="Miriam"/>
                      <w:sz w:val="18"/>
                      <w:szCs w:val="18"/>
                      <w:rtl/>
                    </w:rPr>
                    <w:t>המ</w:t>
                  </w:r>
                  <w:r>
                    <w:rPr>
                      <w:rFonts w:cs="Miriam" w:hint="cs"/>
                      <w:sz w:val="18"/>
                      <w:szCs w:val="18"/>
                      <w:rtl/>
                    </w:rPr>
                    <w:t>שך הליכים בבית משפט צבאי</w:t>
                  </w:r>
                </w:p>
                <w:p w:rsidR="00D16A0E" w:rsidRDefault="00D16A0E" w:rsidP="00801263">
                  <w:pPr>
                    <w:spacing w:line="160" w:lineRule="exact"/>
                    <w:jc w:val="left"/>
                    <w:rPr>
                      <w:rFonts w:cs="Miriam"/>
                      <w:noProof/>
                      <w:sz w:val="18"/>
                      <w:szCs w:val="18"/>
                      <w:rtl/>
                    </w:rPr>
                  </w:pPr>
                  <w:r>
                    <w:rPr>
                      <w:rFonts w:cs="Miriam"/>
                      <w:sz w:val="18"/>
                      <w:szCs w:val="18"/>
                      <w:rtl/>
                    </w:rPr>
                    <w:t>תק</w:t>
                  </w:r>
                  <w:r>
                    <w:rPr>
                      <w:rFonts w:cs="Miriam" w:hint="cs"/>
                      <w:sz w:val="18"/>
                      <w:szCs w:val="18"/>
                      <w:rtl/>
                    </w:rPr>
                    <w:t>' תשמ"</w:t>
                  </w:r>
                  <w:r>
                    <w:rPr>
                      <w:rFonts w:cs="Miriam"/>
                      <w:sz w:val="18"/>
                      <w:szCs w:val="18"/>
                      <w:rtl/>
                    </w:rPr>
                    <w:t>ב</w:t>
                  </w:r>
                  <w:r w:rsidR="00801263">
                    <w:rPr>
                      <w:rFonts w:cs="Miriam" w:hint="cs"/>
                      <w:sz w:val="18"/>
                      <w:szCs w:val="18"/>
                      <w:rtl/>
                    </w:rPr>
                    <w:t>-</w:t>
                  </w:r>
                  <w:r>
                    <w:rPr>
                      <w:rFonts w:cs="Miriam"/>
                      <w:sz w:val="18"/>
                      <w:szCs w:val="18"/>
                      <w:rtl/>
                    </w:rPr>
                    <w:t>1982</w:t>
                  </w:r>
                </w:p>
                <w:p w:rsidR="00D16A0E" w:rsidRDefault="00D16A0E">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D16A0E" w:rsidRDefault="00D16A0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מ"ב</w:t>
                  </w:r>
                  <w:r w:rsidR="00801263">
                    <w:rPr>
                      <w:rFonts w:cs="Miriam" w:hint="cs"/>
                      <w:sz w:val="18"/>
                      <w:szCs w:val="18"/>
                      <w:rtl/>
                    </w:rPr>
                    <w:t>-</w:t>
                  </w:r>
                  <w:r>
                    <w:rPr>
                      <w:rFonts w:cs="Miriam"/>
                      <w:sz w:val="18"/>
                      <w:szCs w:val="18"/>
                      <w:rtl/>
                    </w:rPr>
                    <w:t>1982</w:t>
                  </w:r>
                </w:p>
              </w:txbxContent>
            </v:textbox>
            <w10:anchorlock/>
          </v:rect>
        </w:pict>
      </w:r>
      <w:r>
        <w:rPr>
          <w:rStyle w:val="big-number"/>
          <w:rFonts w:cs="Miriam"/>
          <w:rtl/>
        </w:rPr>
        <w:t>5</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יה הליך תלוי ועומד לפני תחילת החוק בבית משפט צבאי שכונן לפי צו בדבר הוראות בטחון, </w:t>
      </w:r>
      <w:r w:rsidR="00205A84">
        <w:rPr>
          <w:rStyle w:val="default"/>
          <w:rFonts w:cs="FrankRuehl" w:hint="cs"/>
          <w:rtl/>
        </w:rPr>
        <w:t>ה</w:t>
      </w:r>
      <w:r>
        <w:rPr>
          <w:rStyle w:val="default"/>
          <w:rFonts w:cs="FrankRuehl" w:hint="cs"/>
          <w:rtl/>
        </w:rPr>
        <w:t>תש"ל</w:t>
      </w:r>
      <w:r w:rsidR="00801263">
        <w:rPr>
          <w:rStyle w:val="default"/>
          <w:rFonts w:cs="FrankRuehl" w:hint="cs"/>
          <w:rtl/>
        </w:rPr>
        <w:t>-</w:t>
      </w:r>
      <w:r>
        <w:rPr>
          <w:rStyle w:val="default"/>
          <w:rFonts w:cs="FrankRuehl"/>
          <w:rtl/>
        </w:rPr>
        <w:t xml:space="preserve">1970, </w:t>
      </w:r>
      <w:r>
        <w:rPr>
          <w:rStyle w:val="default"/>
          <w:rFonts w:cs="FrankRuehl" w:hint="cs"/>
          <w:rtl/>
        </w:rPr>
        <w:t>שהוציא מפקד כוחות צה"ל באיזור רמת הגולן (להלן</w:t>
      </w:r>
      <w:r>
        <w:rPr>
          <w:rStyle w:val="default"/>
          <w:rFonts w:cs="FrankRuehl"/>
          <w:rtl/>
        </w:rPr>
        <w:t xml:space="preserve"> </w:t>
      </w:r>
      <w:r w:rsidR="00801263">
        <w:rPr>
          <w:rStyle w:val="default"/>
          <w:rFonts w:cs="FrankRuehl" w:hint="cs"/>
          <w:rtl/>
        </w:rPr>
        <w:t>-</w:t>
      </w:r>
      <w:r>
        <w:rPr>
          <w:rStyle w:val="default"/>
          <w:rFonts w:cs="FrankRuehl"/>
          <w:rtl/>
        </w:rPr>
        <w:t xml:space="preserve"> </w:t>
      </w:r>
      <w:r>
        <w:rPr>
          <w:rStyle w:val="default"/>
          <w:rFonts w:cs="FrankRuehl" w:hint="cs"/>
          <w:rtl/>
        </w:rPr>
        <w:t>בית המשפט הצבאי), ידון בו בית משפט צבאי שכונן לפי תקנות ההגנה (שעת חירום)</w:t>
      </w:r>
      <w:r>
        <w:rPr>
          <w:rStyle w:val="default"/>
          <w:rFonts w:cs="FrankRuehl"/>
          <w:rtl/>
        </w:rPr>
        <w:t>, 1945 (</w:t>
      </w:r>
      <w:r>
        <w:rPr>
          <w:rStyle w:val="default"/>
          <w:rFonts w:cs="FrankRuehl" w:hint="cs"/>
          <w:rtl/>
        </w:rPr>
        <w:t xml:space="preserve">להלן </w:t>
      </w:r>
      <w:r w:rsidR="00801263">
        <w:rPr>
          <w:rStyle w:val="default"/>
          <w:rFonts w:cs="FrankRuehl" w:hint="cs"/>
          <w:rtl/>
        </w:rPr>
        <w:t>-</w:t>
      </w:r>
      <w:r>
        <w:rPr>
          <w:rStyle w:val="default"/>
          <w:rFonts w:cs="FrankRuehl"/>
          <w:rtl/>
        </w:rPr>
        <w:t xml:space="preserve"> </w:t>
      </w:r>
      <w:r>
        <w:rPr>
          <w:rStyle w:val="default"/>
          <w:rFonts w:cs="FrankRuehl" w:hint="cs"/>
          <w:rtl/>
        </w:rPr>
        <w:t>בית משפט צבאי בישראל), והוא רשאי לדון בו מן השלב שאליו הגיע בית המשפט הצבאי שכונן כאמור.</w:t>
      </w:r>
    </w:p>
    <w:p w:rsidR="00D16A0E" w:rsidRPr="00E944F2" w:rsidRDefault="00D16A0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סק דין שנתן בית משפט צבאי בישראל בהליך כאמור בסעיף קטן (א), דינו לכל ד</w:t>
      </w:r>
      <w:r>
        <w:rPr>
          <w:rStyle w:val="default"/>
          <w:rFonts w:cs="FrankRuehl"/>
          <w:rtl/>
        </w:rPr>
        <w:t>בר</w:t>
      </w:r>
      <w:r>
        <w:rPr>
          <w:rStyle w:val="default"/>
          <w:rFonts w:cs="FrankRuehl" w:hint="cs"/>
          <w:rtl/>
        </w:rPr>
        <w:t xml:space="preserve"> </w:t>
      </w:r>
      <w:r w:rsidRPr="00E944F2">
        <w:rPr>
          <w:rStyle w:val="default"/>
          <w:rFonts w:cs="FrankRuehl" w:hint="cs"/>
          <w:rtl/>
        </w:rPr>
        <w:t>וענין, כדין פסק דין שניתן בהליך שהוא החל בו.</w:t>
      </w:r>
    </w:p>
    <w:p w:rsidR="008A0C78" w:rsidRPr="00801263" w:rsidRDefault="008A0C78" w:rsidP="008A0C78">
      <w:pPr>
        <w:pStyle w:val="P00"/>
        <w:spacing w:before="0"/>
        <w:ind w:left="0" w:right="1134"/>
        <w:rPr>
          <w:rFonts w:cs="FrankRuehl" w:hint="cs"/>
          <w:vanish/>
          <w:color w:val="FF0000"/>
          <w:szCs w:val="20"/>
          <w:shd w:val="clear" w:color="auto" w:fill="FFFF99"/>
          <w:rtl/>
        </w:rPr>
      </w:pPr>
      <w:bookmarkStart w:id="8" w:name="Rov16"/>
      <w:r w:rsidRPr="00801263">
        <w:rPr>
          <w:rFonts w:cs="FrankRuehl" w:hint="cs"/>
          <w:vanish/>
          <w:color w:val="FF0000"/>
          <w:szCs w:val="20"/>
          <w:shd w:val="clear" w:color="auto" w:fill="FFFF99"/>
          <w:rtl/>
        </w:rPr>
        <w:t>מיום 17.1.1982</w:t>
      </w:r>
    </w:p>
    <w:p w:rsidR="008A0C78" w:rsidRPr="00801263" w:rsidRDefault="008A0C78" w:rsidP="008A0C78">
      <w:pPr>
        <w:pStyle w:val="P00"/>
        <w:spacing w:before="0"/>
        <w:ind w:left="0" w:right="1134"/>
        <w:rPr>
          <w:rStyle w:val="default"/>
          <w:rFonts w:cs="FrankRuehl" w:hint="cs"/>
          <w:b/>
          <w:bCs/>
          <w:vanish/>
          <w:sz w:val="20"/>
          <w:szCs w:val="20"/>
          <w:shd w:val="clear" w:color="auto" w:fill="FFFF99"/>
          <w:rtl/>
        </w:rPr>
      </w:pPr>
      <w:r w:rsidRPr="00801263">
        <w:rPr>
          <w:rFonts w:cs="FrankRuehl" w:hint="cs"/>
          <w:b/>
          <w:bCs/>
          <w:vanish/>
          <w:szCs w:val="20"/>
          <w:shd w:val="clear" w:color="auto" w:fill="FFFF99"/>
          <w:rtl/>
        </w:rPr>
        <w:t>תק' תשמ"ב-1982</w:t>
      </w:r>
    </w:p>
    <w:p w:rsidR="008A0C78" w:rsidRPr="00801263" w:rsidRDefault="008A0C78" w:rsidP="008A0C78">
      <w:pPr>
        <w:pStyle w:val="P00"/>
        <w:spacing w:before="0"/>
        <w:ind w:left="0" w:right="1134"/>
        <w:rPr>
          <w:rFonts w:cs="FrankRuehl" w:hint="cs"/>
          <w:vanish/>
          <w:szCs w:val="20"/>
          <w:shd w:val="clear" w:color="auto" w:fill="FFFF99"/>
          <w:rtl/>
        </w:rPr>
      </w:pPr>
      <w:hyperlink r:id="rId7" w:history="1">
        <w:r w:rsidRPr="00801263">
          <w:rPr>
            <w:rStyle w:val="Hyperlink"/>
            <w:rFonts w:cs="FrankRuehl" w:hint="cs"/>
            <w:vanish/>
            <w:szCs w:val="20"/>
            <w:shd w:val="clear" w:color="auto" w:fill="FFFF99"/>
            <w:rtl/>
          </w:rPr>
          <w:t>ק"ת תשמ"ב מס' 4308</w:t>
        </w:r>
      </w:hyperlink>
      <w:r w:rsidRPr="00801263">
        <w:rPr>
          <w:rFonts w:cs="FrankRuehl" w:hint="cs"/>
          <w:vanish/>
          <w:szCs w:val="20"/>
          <w:shd w:val="clear" w:color="auto" w:fill="FFFF99"/>
          <w:rtl/>
        </w:rPr>
        <w:t xml:space="preserve"> מיום 17.1.1982 עמ' 506</w:t>
      </w:r>
    </w:p>
    <w:p w:rsidR="008A0C78" w:rsidRPr="00801263" w:rsidRDefault="008A0C78" w:rsidP="008A0C78">
      <w:pPr>
        <w:pStyle w:val="P00"/>
        <w:spacing w:before="0"/>
        <w:ind w:left="0" w:right="1134"/>
        <w:rPr>
          <w:rStyle w:val="default"/>
          <w:rFonts w:cs="FrankRuehl" w:hint="cs"/>
          <w:vanish/>
          <w:sz w:val="20"/>
          <w:szCs w:val="20"/>
          <w:shd w:val="clear" w:color="auto" w:fill="FFFF99"/>
          <w:rtl/>
        </w:rPr>
      </w:pPr>
      <w:r w:rsidRPr="00801263">
        <w:rPr>
          <w:rFonts w:cs="FrankRuehl" w:hint="cs"/>
          <w:b/>
          <w:bCs/>
          <w:vanish/>
          <w:szCs w:val="20"/>
          <w:shd w:val="clear" w:color="auto" w:fill="FFFF99"/>
          <w:rtl/>
        </w:rPr>
        <w:t>הוספת תקנה 5ב</w:t>
      </w:r>
    </w:p>
    <w:p w:rsidR="00C02C30" w:rsidRPr="00801263" w:rsidRDefault="00C02C30" w:rsidP="008A0C78">
      <w:pPr>
        <w:pStyle w:val="P00"/>
        <w:spacing w:before="0"/>
        <w:ind w:left="0" w:right="1134"/>
        <w:rPr>
          <w:rStyle w:val="default"/>
          <w:rFonts w:cs="FrankRuehl" w:hint="cs"/>
          <w:vanish/>
          <w:sz w:val="20"/>
          <w:szCs w:val="20"/>
          <w:shd w:val="clear" w:color="auto" w:fill="FFFF99"/>
          <w:rtl/>
        </w:rPr>
      </w:pPr>
    </w:p>
    <w:p w:rsidR="00C02C30" w:rsidRPr="00801263" w:rsidRDefault="00C02C30" w:rsidP="008A0C78">
      <w:pPr>
        <w:pStyle w:val="P00"/>
        <w:spacing w:before="0"/>
        <w:ind w:left="0" w:right="1134"/>
        <w:rPr>
          <w:rFonts w:cs="FrankRuehl" w:hint="cs"/>
          <w:vanish/>
          <w:color w:val="FF0000"/>
          <w:szCs w:val="20"/>
          <w:shd w:val="clear" w:color="auto" w:fill="FFFF99"/>
          <w:rtl/>
        </w:rPr>
      </w:pPr>
      <w:r w:rsidRPr="00801263">
        <w:rPr>
          <w:rFonts w:cs="FrankRuehl" w:hint="cs"/>
          <w:vanish/>
          <w:color w:val="FF0000"/>
          <w:szCs w:val="20"/>
          <w:shd w:val="clear" w:color="auto" w:fill="FFFF99"/>
          <w:rtl/>
        </w:rPr>
        <w:t>מיום 17.9.1982</w:t>
      </w:r>
    </w:p>
    <w:p w:rsidR="00C02C30" w:rsidRPr="00801263" w:rsidRDefault="00C02C30" w:rsidP="008A0C78">
      <w:pPr>
        <w:pStyle w:val="P00"/>
        <w:spacing w:before="0"/>
        <w:ind w:left="0" w:right="1134"/>
        <w:rPr>
          <w:rStyle w:val="default"/>
          <w:rFonts w:cs="FrankRuehl" w:hint="cs"/>
          <w:b/>
          <w:bCs/>
          <w:vanish/>
          <w:sz w:val="20"/>
          <w:szCs w:val="20"/>
          <w:shd w:val="clear" w:color="auto" w:fill="FFFF99"/>
          <w:rtl/>
        </w:rPr>
      </w:pPr>
      <w:r w:rsidRPr="00801263">
        <w:rPr>
          <w:rFonts w:cs="FrankRuehl" w:hint="cs"/>
          <w:b/>
          <w:bCs/>
          <w:vanish/>
          <w:szCs w:val="20"/>
          <w:shd w:val="clear" w:color="auto" w:fill="FFFF99"/>
          <w:rtl/>
        </w:rPr>
        <w:t>תק' (מס' 2) תשמ"ב-</w:t>
      </w:r>
      <w:r w:rsidRPr="00801263">
        <w:rPr>
          <w:rFonts w:cs="FrankRuehl"/>
          <w:b/>
          <w:bCs/>
          <w:vanish/>
          <w:szCs w:val="20"/>
          <w:shd w:val="clear" w:color="auto" w:fill="FFFF99"/>
          <w:rtl/>
        </w:rPr>
        <w:t>1982</w:t>
      </w:r>
    </w:p>
    <w:p w:rsidR="00C02C30" w:rsidRPr="00801263" w:rsidRDefault="00C02C30" w:rsidP="00C02C30">
      <w:pPr>
        <w:pStyle w:val="P00"/>
        <w:spacing w:before="0"/>
        <w:ind w:left="0" w:right="1134"/>
        <w:rPr>
          <w:rFonts w:cs="FrankRuehl" w:hint="cs"/>
          <w:vanish/>
          <w:szCs w:val="20"/>
          <w:shd w:val="clear" w:color="auto" w:fill="FFFF99"/>
          <w:rtl/>
        </w:rPr>
      </w:pPr>
      <w:hyperlink r:id="rId8" w:history="1">
        <w:r w:rsidR="003A4B80" w:rsidRPr="00801263">
          <w:rPr>
            <w:rStyle w:val="Hyperlink"/>
            <w:rFonts w:cs="FrankRuehl" w:hint="cs"/>
            <w:vanish/>
            <w:szCs w:val="20"/>
            <w:shd w:val="clear" w:color="auto" w:fill="FFFF99"/>
            <w:rtl/>
          </w:rPr>
          <w:t>ק"ת תשמ"ב מ</w:t>
        </w:r>
        <w:r w:rsidRPr="00801263">
          <w:rPr>
            <w:rStyle w:val="Hyperlink"/>
            <w:rFonts w:cs="FrankRuehl" w:hint="cs"/>
            <w:vanish/>
            <w:szCs w:val="20"/>
            <w:shd w:val="clear" w:color="auto" w:fill="FFFF99"/>
            <w:rtl/>
          </w:rPr>
          <w:t>ס' 4408</w:t>
        </w:r>
      </w:hyperlink>
      <w:r w:rsidRPr="00801263">
        <w:rPr>
          <w:rFonts w:cs="FrankRuehl" w:hint="cs"/>
          <w:vanish/>
          <w:szCs w:val="20"/>
          <w:shd w:val="clear" w:color="auto" w:fill="FFFF99"/>
          <w:rtl/>
        </w:rPr>
        <w:t xml:space="preserve"> מיום 17.9.1982 עמ' 1682</w:t>
      </w:r>
    </w:p>
    <w:p w:rsidR="00E762F5" w:rsidRPr="00E944F2" w:rsidRDefault="00E762F5" w:rsidP="00801263">
      <w:pPr>
        <w:pStyle w:val="P00"/>
        <w:ind w:left="0" w:right="1134"/>
        <w:rPr>
          <w:rStyle w:val="default"/>
          <w:rFonts w:cs="FrankRuehl"/>
          <w:sz w:val="2"/>
          <w:szCs w:val="2"/>
          <w:rtl/>
        </w:rPr>
      </w:pPr>
      <w:r w:rsidRPr="00801263">
        <w:rPr>
          <w:rStyle w:val="default"/>
          <w:rFonts w:cs="FrankRuehl"/>
          <w:vanish/>
          <w:sz w:val="22"/>
          <w:szCs w:val="22"/>
          <w:shd w:val="clear" w:color="auto" w:fill="FFFF99"/>
          <w:rtl/>
        </w:rPr>
        <w:tab/>
        <w:t>(</w:t>
      </w:r>
      <w:r w:rsidRPr="00801263">
        <w:rPr>
          <w:rStyle w:val="default"/>
          <w:rFonts w:cs="FrankRuehl" w:hint="cs"/>
          <w:vanish/>
          <w:sz w:val="22"/>
          <w:szCs w:val="22"/>
          <w:shd w:val="clear" w:color="auto" w:fill="FFFF99"/>
          <w:rtl/>
        </w:rPr>
        <w:t>א)</w:t>
      </w:r>
      <w:r w:rsidRPr="00801263">
        <w:rPr>
          <w:rStyle w:val="default"/>
          <w:rFonts w:cs="FrankRuehl"/>
          <w:vanish/>
          <w:sz w:val="22"/>
          <w:szCs w:val="22"/>
          <w:shd w:val="clear" w:color="auto" w:fill="FFFF99"/>
          <w:rtl/>
        </w:rPr>
        <w:tab/>
        <w:t>ה</w:t>
      </w:r>
      <w:r w:rsidRPr="00801263">
        <w:rPr>
          <w:rStyle w:val="default"/>
          <w:rFonts w:cs="FrankRuehl" w:hint="cs"/>
          <w:vanish/>
          <w:sz w:val="22"/>
          <w:szCs w:val="22"/>
          <w:shd w:val="clear" w:color="auto" w:fill="FFFF99"/>
          <w:rtl/>
        </w:rPr>
        <w:t xml:space="preserve">יה הליך תלוי ועומד לפני תחילת החוק בבית משפט צבאי שכונן לפי צו בדבר הוראות בטחון, </w:t>
      </w:r>
      <w:r w:rsidR="00205A84" w:rsidRPr="00801263">
        <w:rPr>
          <w:rStyle w:val="default"/>
          <w:rFonts w:cs="FrankRuehl" w:hint="cs"/>
          <w:vanish/>
          <w:sz w:val="22"/>
          <w:szCs w:val="22"/>
          <w:shd w:val="clear" w:color="auto" w:fill="FFFF99"/>
          <w:rtl/>
        </w:rPr>
        <w:t>ה</w:t>
      </w:r>
      <w:r w:rsidRPr="00801263">
        <w:rPr>
          <w:rStyle w:val="default"/>
          <w:rFonts w:cs="FrankRuehl" w:hint="cs"/>
          <w:vanish/>
          <w:sz w:val="22"/>
          <w:szCs w:val="22"/>
          <w:shd w:val="clear" w:color="auto" w:fill="FFFF99"/>
          <w:rtl/>
        </w:rPr>
        <w:t>תש"ל</w:t>
      </w:r>
      <w:r w:rsidR="00801263" w:rsidRPr="00801263">
        <w:rPr>
          <w:rStyle w:val="default"/>
          <w:rFonts w:cs="FrankRuehl" w:hint="cs"/>
          <w:vanish/>
          <w:sz w:val="22"/>
          <w:szCs w:val="22"/>
          <w:shd w:val="clear" w:color="auto" w:fill="FFFF99"/>
          <w:rtl/>
        </w:rPr>
        <w:t>-</w:t>
      </w:r>
      <w:r w:rsidRPr="00801263">
        <w:rPr>
          <w:rStyle w:val="default"/>
          <w:rFonts w:cs="FrankRuehl"/>
          <w:vanish/>
          <w:sz w:val="22"/>
          <w:szCs w:val="22"/>
          <w:shd w:val="clear" w:color="auto" w:fill="FFFF99"/>
          <w:rtl/>
        </w:rPr>
        <w:t xml:space="preserve">1970, </w:t>
      </w:r>
      <w:r w:rsidRPr="00801263">
        <w:rPr>
          <w:rStyle w:val="default"/>
          <w:rFonts w:cs="FrankRuehl" w:hint="cs"/>
          <w:vanish/>
          <w:sz w:val="22"/>
          <w:szCs w:val="22"/>
          <w:shd w:val="clear" w:color="auto" w:fill="FFFF99"/>
          <w:rtl/>
        </w:rPr>
        <w:t xml:space="preserve">שהוציא מפקד כוחות צה"ל באיזור רמת הגולן </w:t>
      </w:r>
      <w:r w:rsidRPr="00801263">
        <w:rPr>
          <w:rStyle w:val="default"/>
          <w:rFonts w:cs="FrankRuehl" w:hint="cs"/>
          <w:vanish/>
          <w:sz w:val="22"/>
          <w:szCs w:val="22"/>
          <w:u w:val="single"/>
          <w:shd w:val="clear" w:color="auto" w:fill="FFFF99"/>
          <w:rtl/>
        </w:rPr>
        <w:t>(להלן</w:t>
      </w:r>
      <w:r w:rsidRPr="00801263">
        <w:rPr>
          <w:rStyle w:val="default"/>
          <w:rFonts w:cs="FrankRuehl"/>
          <w:vanish/>
          <w:sz w:val="22"/>
          <w:szCs w:val="22"/>
          <w:u w:val="single"/>
          <w:shd w:val="clear" w:color="auto" w:fill="FFFF99"/>
          <w:rtl/>
        </w:rPr>
        <w:t xml:space="preserve"> </w:t>
      </w:r>
      <w:r w:rsidR="00801263" w:rsidRPr="00801263">
        <w:rPr>
          <w:rStyle w:val="default"/>
          <w:rFonts w:cs="FrankRuehl" w:hint="cs"/>
          <w:vanish/>
          <w:sz w:val="22"/>
          <w:szCs w:val="22"/>
          <w:u w:val="single"/>
          <w:shd w:val="clear" w:color="auto" w:fill="FFFF99"/>
          <w:rtl/>
        </w:rPr>
        <w:t>-</w:t>
      </w:r>
      <w:r w:rsidRPr="00801263">
        <w:rPr>
          <w:rStyle w:val="default"/>
          <w:rFonts w:cs="FrankRuehl"/>
          <w:vanish/>
          <w:sz w:val="22"/>
          <w:szCs w:val="22"/>
          <w:u w:val="single"/>
          <w:shd w:val="clear" w:color="auto" w:fill="FFFF99"/>
          <w:rtl/>
        </w:rPr>
        <w:t xml:space="preserve"> </w:t>
      </w:r>
      <w:r w:rsidRPr="00801263">
        <w:rPr>
          <w:rStyle w:val="default"/>
          <w:rFonts w:cs="FrankRuehl" w:hint="cs"/>
          <w:vanish/>
          <w:sz w:val="22"/>
          <w:szCs w:val="22"/>
          <w:u w:val="single"/>
          <w:shd w:val="clear" w:color="auto" w:fill="FFFF99"/>
          <w:rtl/>
        </w:rPr>
        <w:t>בית המשפט הצבאי)</w:t>
      </w:r>
      <w:r w:rsidRPr="00801263">
        <w:rPr>
          <w:rStyle w:val="default"/>
          <w:rFonts w:cs="FrankRuehl" w:hint="cs"/>
          <w:vanish/>
          <w:sz w:val="22"/>
          <w:szCs w:val="22"/>
          <w:shd w:val="clear" w:color="auto" w:fill="FFFF99"/>
          <w:rtl/>
        </w:rPr>
        <w:t>, ידון בו בית משפט צבאי שכונן לפי תקנות ההגנה (שעת חירום)</w:t>
      </w:r>
      <w:r w:rsidRPr="00801263">
        <w:rPr>
          <w:rStyle w:val="default"/>
          <w:rFonts w:cs="FrankRuehl"/>
          <w:vanish/>
          <w:sz w:val="22"/>
          <w:szCs w:val="22"/>
          <w:shd w:val="clear" w:color="auto" w:fill="FFFF99"/>
          <w:rtl/>
        </w:rPr>
        <w:t>, 1945 (</w:t>
      </w:r>
      <w:r w:rsidRPr="00801263">
        <w:rPr>
          <w:rStyle w:val="default"/>
          <w:rFonts w:cs="FrankRuehl" w:hint="cs"/>
          <w:vanish/>
          <w:sz w:val="22"/>
          <w:szCs w:val="22"/>
          <w:shd w:val="clear" w:color="auto" w:fill="FFFF99"/>
          <w:rtl/>
        </w:rPr>
        <w:t xml:space="preserve">להלן </w:t>
      </w:r>
      <w:r w:rsidR="00801263" w:rsidRPr="00801263">
        <w:rPr>
          <w:rStyle w:val="default"/>
          <w:rFonts w:cs="FrankRuehl" w:hint="cs"/>
          <w:vanish/>
          <w:sz w:val="22"/>
          <w:szCs w:val="22"/>
          <w:shd w:val="clear" w:color="auto" w:fill="FFFF99"/>
          <w:rtl/>
        </w:rPr>
        <w:t>-</w:t>
      </w:r>
      <w:r w:rsidRPr="00801263">
        <w:rPr>
          <w:rStyle w:val="default"/>
          <w:rFonts w:cs="FrankRuehl"/>
          <w:vanish/>
          <w:sz w:val="22"/>
          <w:szCs w:val="22"/>
          <w:shd w:val="clear" w:color="auto" w:fill="FFFF99"/>
          <w:rtl/>
        </w:rPr>
        <w:t xml:space="preserve"> </w:t>
      </w:r>
      <w:r w:rsidRPr="00801263">
        <w:rPr>
          <w:rStyle w:val="default"/>
          <w:rFonts w:cs="FrankRuehl" w:hint="cs"/>
          <w:vanish/>
          <w:sz w:val="22"/>
          <w:szCs w:val="22"/>
          <w:shd w:val="clear" w:color="auto" w:fill="FFFF99"/>
          <w:rtl/>
        </w:rPr>
        <w:t>בית משפט צבאי בישראל), והוא רשאי לדון בו מן השלב שאליו הגיע בית המשפט הצבאי שכונן כאמור.</w:t>
      </w:r>
      <w:bookmarkEnd w:id="8"/>
    </w:p>
    <w:p w:rsidR="00D16A0E" w:rsidRDefault="00D16A0E">
      <w:pPr>
        <w:pStyle w:val="P00"/>
        <w:spacing w:before="72"/>
        <w:ind w:left="0" w:right="1134"/>
        <w:rPr>
          <w:rStyle w:val="default"/>
          <w:rFonts w:cs="FrankRuehl" w:hint="cs"/>
          <w:rtl/>
        </w:rPr>
      </w:pPr>
      <w:bookmarkStart w:id="9" w:name="Seif7"/>
      <w:bookmarkEnd w:id="9"/>
      <w:r w:rsidRPr="00E944F2">
        <w:rPr>
          <w:lang w:val="he-IL"/>
        </w:rPr>
        <w:pict>
          <v:rect id="_x0000_s1033" style="position:absolute;left:0;text-align:left;margin-left:464.5pt;margin-top:8.05pt;width:75.05pt;height:35.7pt;z-index:251659264" o:allowincell="f" filled="f" stroked="f" strokecolor="lime" strokeweight=".25pt">
            <v:textbox style="mso-next-textbox:#_x0000_s1033" inset="0,0,0,0">
              <w:txbxContent>
                <w:p w:rsidR="00D16A0E" w:rsidRDefault="00D16A0E">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עלת מאסר </w:t>
                  </w:r>
                  <w:r w:rsidR="00801263">
                    <w:rPr>
                      <w:rFonts w:cs="Miriam"/>
                      <w:sz w:val="18"/>
                      <w:szCs w:val="18"/>
                      <w:rtl/>
                    </w:rPr>
                    <w:br/>
                  </w:r>
                  <w:r>
                    <w:rPr>
                      <w:rFonts w:cs="Miriam" w:hint="cs"/>
                      <w:sz w:val="18"/>
                      <w:szCs w:val="18"/>
                      <w:rtl/>
                    </w:rPr>
                    <w:t>על-תנאי</w:t>
                  </w:r>
                </w:p>
                <w:p w:rsidR="00D16A0E" w:rsidRDefault="00D16A0E">
                  <w:pPr>
                    <w:spacing w:line="160" w:lineRule="exact"/>
                    <w:jc w:val="left"/>
                    <w:rPr>
                      <w:rFonts w:cs="Miriam"/>
                      <w:sz w:val="18"/>
                      <w:szCs w:val="18"/>
                      <w:rtl/>
                    </w:rPr>
                  </w:pPr>
                  <w:r>
                    <w:rPr>
                      <w:rFonts w:cs="Miriam"/>
                      <w:sz w:val="18"/>
                      <w:szCs w:val="18"/>
                      <w:rtl/>
                    </w:rPr>
                    <w:t>תק</w:t>
                  </w:r>
                  <w:r>
                    <w:rPr>
                      <w:rFonts w:cs="Miriam" w:hint="cs"/>
                      <w:sz w:val="18"/>
                      <w:szCs w:val="18"/>
                      <w:rtl/>
                    </w:rPr>
                    <w:t xml:space="preserve">' (מס' </w:t>
                  </w:r>
                  <w:r>
                    <w:rPr>
                      <w:rFonts w:cs="Miriam"/>
                      <w:sz w:val="18"/>
                      <w:szCs w:val="18"/>
                      <w:rtl/>
                    </w:rPr>
                    <w:t xml:space="preserve">2) </w:t>
                  </w:r>
                </w:p>
                <w:p w:rsidR="00D16A0E" w:rsidRDefault="00D16A0E">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מ"ב</w:t>
                  </w:r>
                  <w:r w:rsidR="00801263">
                    <w:rPr>
                      <w:rFonts w:cs="Miriam" w:hint="cs"/>
                      <w:sz w:val="18"/>
                      <w:szCs w:val="18"/>
                      <w:rtl/>
                    </w:rPr>
                    <w:t>-</w:t>
                  </w:r>
                  <w:r>
                    <w:rPr>
                      <w:rFonts w:cs="Miriam"/>
                      <w:sz w:val="18"/>
                      <w:szCs w:val="18"/>
                      <w:rtl/>
                    </w:rPr>
                    <w:t>1982</w:t>
                  </w:r>
                </w:p>
              </w:txbxContent>
            </v:textbox>
            <w10:anchorlock/>
          </v:rect>
        </w:pict>
      </w:r>
      <w:r w:rsidRPr="00E944F2">
        <w:rPr>
          <w:rStyle w:val="big-number"/>
          <w:rFonts w:cs="Miriam"/>
          <w:rtl/>
        </w:rPr>
        <w:t>5</w:t>
      </w:r>
      <w:r w:rsidRPr="00E944F2">
        <w:rPr>
          <w:rStyle w:val="default"/>
          <w:rFonts w:cs="FrankRuehl"/>
          <w:rtl/>
        </w:rPr>
        <w:t>ג.</w:t>
      </w:r>
      <w:r w:rsidRPr="00E944F2">
        <w:rPr>
          <w:rStyle w:val="default"/>
          <w:rFonts w:cs="FrankRuehl"/>
          <w:rtl/>
        </w:rPr>
        <w:tab/>
        <w:t>ה</w:t>
      </w:r>
      <w:r w:rsidRPr="00E944F2">
        <w:rPr>
          <w:rStyle w:val="default"/>
          <w:rFonts w:cs="FrankRuehl" w:hint="cs"/>
          <w:rtl/>
        </w:rPr>
        <w:t>טיל בית המשפט, בית המשפט לערעורים או בית המשפט הצבאי, מאסר על תנאי, יראו</w:t>
      </w:r>
      <w:r>
        <w:rPr>
          <w:rStyle w:val="default"/>
          <w:rFonts w:cs="FrankRuehl" w:hint="cs"/>
          <w:rtl/>
        </w:rPr>
        <w:t xml:space="preserve"> אותו לענין הפעלתו, כאילו הטילו בית משפט בישראל או בית משפט צבאי בישראל, לפי הענין; אוזכרה בגזר הדין שהטיל את המאסר על תנאי הוראת </w:t>
      </w:r>
      <w:r>
        <w:rPr>
          <w:rStyle w:val="default"/>
          <w:rFonts w:cs="FrankRuehl"/>
          <w:rtl/>
        </w:rPr>
        <w:t>דב</w:t>
      </w:r>
      <w:r>
        <w:rPr>
          <w:rStyle w:val="default"/>
          <w:rFonts w:cs="FrankRuehl" w:hint="cs"/>
          <w:rtl/>
        </w:rPr>
        <w:t>ר חקיקה שהוציא מפקד כוחות צה"ל באזור רמת הגולן, יראו את גזר הדין כמאזכר את ההוראה המקבילה בדין הישראלי.</w:t>
      </w:r>
    </w:p>
    <w:p w:rsidR="00673A5B" w:rsidRPr="00801263" w:rsidRDefault="00673A5B" w:rsidP="00673A5B">
      <w:pPr>
        <w:pStyle w:val="P00"/>
        <w:spacing w:before="0"/>
        <w:ind w:left="0" w:right="1134"/>
        <w:rPr>
          <w:rFonts w:cs="FrankRuehl" w:hint="cs"/>
          <w:vanish/>
          <w:color w:val="FF0000"/>
          <w:szCs w:val="20"/>
          <w:shd w:val="clear" w:color="auto" w:fill="FFFF99"/>
          <w:rtl/>
        </w:rPr>
      </w:pPr>
      <w:bookmarkStart w:id="10" w:name="Rov17"/>
      <w:r w:rsidRPr="00801263">
        <w:rPr>
          <w:rFonts w:cs="FrankRuehl" w:hint="cs"/>
          <w:vanish/>
          <w:color w:val="FF0000"/>
          <w:szCs w:val="20"/>
          <w:shd w:val="clear" w:color="auto" w:fill="FFFF99"/>
          <w:rtl/>
        </w:rPr>
        <w:t>מיום 17.9.1982</w:t>
      </w:r>
    </w:p>
    <w:p w:rsidR="00673A5B" w:rsidRPr="00801263" w:rsidRDefault="00673A5B" w:rsidP="00673A5B">
      <w:pPr>
        <w:pStyle w:val="P00"/>
        <w:spacing w:before="0"/>
        <w:ind w:left="0" w:right="1134"/>
        <w:rPr>
          <w:rStyle w:val="default"/>
          <w:rFonts w:cs="FrankRuehl" w:hint="cs"/>
          <w:b/>
          <w:bCs/>
          <w:vanish/>
          <w:sz w:val="20"/>
          <w:szCs w:val="20"/>
          <w:shd w:val="clear" w:color="auto" w:fill="FFFF99"/>
          <w:rtl/>
        </w:rPr>
      </w:pPr>
      <w:r w:rsidRPr="00801263">
        <w:rPr>
          <w:rFonts w:cs="FrankRuehl" w:hint="cs"/>
          <w:b/>
          <w:bCs/>
          <w:vanish/>
          <w:szCs w:val="20"/>
          <w:shd w:val="clear" w:color="auto" w:fill="FFFF99"/>
          <w:rtl/>
        </w:rPr>
        <w:t>תק' (מס' 2) תשמ"ב-</w:t>
      </w:r>
      <w:r w:rsidRPr="00801263">
        <w:rPr>
          <w:rFonts w:cs="FrankRuehl"/>
          <w:b/>
          <w:bCs/>
          <w:vanish/>
          <w:szCs w:val="20"/>
          <w:shd w:val="clear" w:color="auto" w:fill="FFFF99"/>
          <w:rtl/>
        </w:rPr>
        <w:t>1982</w:t>
      </w:r>
    </w:p>
    <w:p w:rsidR="00673A5B" w:rsidRPr="00801263" w:rsidRDefault="00673A5B" w:rsidP="00673A5B">
      <w:pPr>
        <w:pStyle w:val="P00"/>
        <w:spacing w:before="0"/>
        <w:ind w:left="0" w:right="1134"/>
        <w:rPr>
          <w:rFonts w:cs="FrankRuehl" w:hint="cs"/>
          <w:vanish/>
          <w:szCs w:val="20"/>
          <w:shd w:val="clear" w:color="auto" w:fill="FFFF99"/>
          <w:rtl/>
        </w:rPr>
      </w:pPr>
      <w:hyperlink r:id="rId9" w:history="1">
        <w:r w:rsidRPr="00801263">
          <w:rPr>
            <w:rStyle w:val="Hyperlink"/>
            <w:rFonts w:cs="FrankRuehl" w:hint="cs"/>
            <w:vanish/>
            <w:szCs w:val="20"/>
            <w:shd w:val="clear" w:color="auto" w:fill="FFFF99"/>
            <w:rtl/>
          </w:rPr>
          <w:t>ק"ת תשמ"ב מס' 4408</w:t>
        </w:r>
      </w:hyperlink>
      <w:r w:rsidRPr="00801263">
        <w:rPr>
          <w:rFonts w:cs="FrankRuehl" w:hint="cs"/>
          <w:vanish/>
          <w:szCs w:val="20"/>
          <w:shd w:val="clear" w:color="auto" w:fill="FFFF99"/>
          <w:rtl/>
        </w:rPr>
        <w:t xml:space="preserve"> מיום 17.9.1982 עמ' 1682</w:t>
      </w:r>
    </w:p>
    <w:p w:rsidR="00673A5B" w:rsidRPr="00F4165B" w:rsidRDefault="00673A5B" w:rsidP="00F4165B">
      <w:pPr>
        <w:pStyle w:val="P00"/>
        <w:spacing w:before="0"/>
        <w:ind w:left="0" w:right="1134"/>
        <w:rPr>
          <w:rStyle w:val="default"/>
          <w:rFonts w:cs="FrankRuehl" w:hint="cs"/>
          <w:sz w:val="2"/>
          <w:szCs w:val="2"/>
          <w:rtl/>
        </w:rPr>
      </w:pPr>
      <w:r w:rsidRPr="00801263">
        <w:rPr>
          <w:rStyle w:val="default"/>
          <w:rFonts w:cs="FrankRuehl" w:hint="cs"/>
          <w:b/>
          <w:bCs/>
          <w:vanish/>
          <w:sz w:val="20"/>
          <w:szCs w:val="20"/>
          <w:shd w:val="clear" w:color="auto" w:fill="FFFF99"/>
          <w:rtl/>
        </w:rPr>
        <w:t>הוספת תקנה 5ג</w:t>
      </w:r>
      <w:bookmarkEnd w:id="10"/>
    </w:p>
    <w:p w:rsidR="00D16A0E" w:rsidRDefault="00D16A0E" w:rsidP="00801263">
      <w:pPr>
        <w:pStyle w:val="P00"/>
        <w:spacing w:before="72"/>
        <w:ind w:left="0" w:right="1134"/>
        <w:rPr>
          <w:rStyle w:val="default"/>
          <w:rFonts w:cs="FrankRuehl" w:hint="cs"/>
          <w:rtl/>
        </w:rPr>
      </w:pPr>
      <w:bookmarkStart w:id="11" w:name="Seif8"/>
      <w:bookmarkEnd w:id="11"/>
      <w:r>
        <w:rPr>
          <w:lang w:val="he-IL"/>
        </w:rPr>
        <w:pict>
          <v:rect id="_x0000_s1034" style="position:absolute;left:0;text-align:left;margin-left:464.5pt;margin-top:8.05pt;width:75.05pt;height:32pt;z-index:251660288" o:allowincell="f" filled="f" stroked="f" strokecolor="lime" strokeweight=".25pt">
            <v:textbox inset="0,0,0,0">
              <w:txbxContent>
                <w:p w:rsidR="00D16A0E" w:rsidRDefault="00D16A0E">
                  <w:pPr>
                    <w:spacing w:line="160" w:lineRule="exact"/>
                    <w:jc w:val="left"/>
                    <w:rPr>
                      <w:rFonts w:cs="Miriam"/>
                      <w:noProof/>
                      <w:sz w:val="18"/>
                      <w:szCs w:val="18"/>
                      <w:rtl/>
                    </w:rPr>
                  </w:pPr>
                  <w:r>
                    <w:rPr>
                      <w:rFonts w:cs="Miriam"/>
                      <w:sz w:val="18"/>
                      <w:szCs w:val="18"/>
                      <w:rtl/>
                    </w:rPr>
                    <w:t>המ</w:t>
                  </w:r>
                  <w:r>
                    <w:rPr>
                      <w:rFonts w:cs="Miriam" w:hint="cs"/>
                      <w:sz w:val="18"/>
                      <w:szCs w:val="18"/>
                      <w:rtl/>
                    </w:rPr>
                    <w:t>שכיות בכהונת קאדי מד'הב</w:t>
                  </w:r>
                </w:p>
                <w:p w:rsidR="00D16A0E" w:rsidRDefault="00D16A0E" w:rsidP="00801263">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sidR="00801263">
                    <w:rPr>
                      <w:rFonts w:cs="Miriam" w:hint="cs"/>
                      <w:sz w:val="18"/>
                      <w:szCs w:val="18"/>
                      <w:rtl/>
                    </w:rPr>
                    <w:t>-</w:t>
                  </w:r>
                  <w:r>
                    <w:rPr>
                      <w:rFonts w:cs="Miriam"/>
                      <w:sz w:val="18"/>
                      <w:szCs w:val="18"/>
                      <w:rtl/>
                    </w:rPr>
                    <w:t>1984</w:t>
                  </w:r>
                </w:p>
              </w:txbxContent>
            </v:textbox>
            <w10:anchorlock/>
          </v:rect>
        </w:pict>
      </w:r>
      <w:r>
        <w:rPr>
          <w:rStyle w:val="big-number"/>
          <w:rFonts w:cs="Miriam"/>
          <w:rtl/>
        </w:rPr>
        <w:t>5</w:t>
      </w:r>
      <w:r>
        <w:rPr>
          <w:rStyle w:val="default"/>
          <w:rFonts w:cs="FrankRuehl"/>
          <w:rtl/>
        </w:rPr>
        <w:t>ד.</w:t>
      </w:r>
      <w:r>
        <w:rPr>
          <w:rStyle w:val="default"/>
          <w:rFonts w:cs="FrankRuehl"/>
          <w:rtl/>
        </w:rPr>
        <w:tab/>
        <w:t>מ</w:t>
      </w:r>
      <w:r>
        <w:rPr>
          <w:rStyle w:val="default"/>
          <w:rFonts w:cs="FrankRuehl" w:hint="cs"/>
          <w:rtl/>
        </w:rPr>
        <w:t>ינויו של קאדי מד'הב לפי צו בדבר בתי דין דתיים דרוזיים (רמת הגולן) (מס' 238), תשל"א</w:t>
      </w:r>
      <w:r w:rsidR="00801263">
        <w:rPr>
          <w:rStyle w:val="default"/>
          <w:rFonts w:cs="FrankRuehl" w:hint="cs"/>
          <w:rtl/>
        </w:rPr>
        <w:t>-</w:t>
      </w:r>
      <w:r>
        <w:rPr>
          <w:rStyle w:val="default"/>
          <w:rFonts w:cs="FrankRuehl"/>
          <w:rtl/>
        </w:rPr>
        <w:t xml:space="preserve">1970, </w:t>
      </w:r>
      <w:r>
        <w:rPr>
          <w:rStyle w:val="default"/>
          <w:rFonts w:cs="FrankRuehl" w:hint="cs"/>
          <w:rtl/>
        </w:rPr>
        <w:t>ימשיך לעמוד בתקפו כל עוד הוא מכהן בבית הדין</w:t>
      </w:r>
      <w:r>
        <w:rPr>
          <w:rStyle w:val="default"/>
          <w:rFonts w:cs="FrankRuehl"/>
          <w:rtl/>
        </w:rPr>
        <w:t xml:space="preserve"> </w:t>
      </w:r>
      <w:r>
        <w:rPr>
          <w:rStyle w:val="default"/>
          <w:rFonts w:cs="FrankRuehl" w:hint="cs"/>
          <w:rtl/>
        </w:rPr>
        <w:t>הדתי הדרוזי</w:t>
      </w:r>
      <w:r>
        <w:rPr>
          <w:rStyle w:val="default"/>
          <w:rFonts w:cs="FrankRuehl"/>
          <w:rtl/>
        </w:rPr>
        <w:t xml:space="preserve"> ב</w:t>
      </w:r>
      <w:r>
        <w:rPr>
          <w:rStyle w:val="default"/>
          <w:rFonts w:cs="FrankRuehl" w:hint="cs"/>
          <w:rtl/>
        </w:rPr>
        <w:t>רמת הגולן.</w:t>
      </w:r>
    </w:p>
    <w:p w:rsidR="00205A84" w:rsidRPr="00801263" w:rsidRDefault="00205A84" w:rsidP="00205A84">
      <w:pPr>
        <w:pStyle w:val="P00"/>
        <w:spacing w:before="0"/>
        <w:ind w:left="0" w:right="1134"/>
        <w:rPr>
          <w:rFonts w:cs="FrankRuehl" w:hint="cs"/>
          <w:vanish/>
          <w:color w:val="FF0000"/>
          <w:szCs w:val="20"/>
          <w:shd w:val="clear" w:color="auto" w:fill="FFFF99"/>
          <w:rtl/>
        </w:rPr>
      </w:pPr>
      <w:bookmarkStart w:id="12" w:name="Rov18"/>
      <w:r w:rsidRPr="00801263">
        <w:rPr>
          <w:rFonts w:cs="FrankRuehl" w:hint="cs"/>
          <w:vanish/>
          <w:color w:val="FF0000"/>
          <w:szCs w:val="20"/>
          <w:shd w:val="clear" w:color="auto" w:fill="FFFF99"/>
          <w:rtl/>
        </w:rPr>
        <w:t>מיום 18</w:t>
      </w:r>
      <w:r w:rsidRPr="00801263">
        <w:rPr>
          <w:rFonts w:cs="FrankRuehl"/>
          <w:vanish/>
          <w:color w:val="FF0000"/>
          <w:szCs w:val="20"/>
          <w:shd w:val="clear" w:color="auto" w:fill="FFFF99"/>
          <w:rtl/>
        </w:rPr>
        <w:t>.3.1984</w:t>
      </w:r>
    </w:p>
    <w:p w:rsidR="00205A84" w:rsidRPr="00801263" w:rsidRDefault="00205A84" w:rsidP="00205A84">
      <w:pPr>
        <w:pStyle w:val="P00"/>
        <w:spacing w:before="0"/>
        <w:ind w:left="0" w:right="1134"/>
        <w:rPr>
          <w:rStyle w:val="default"/>
          <w:rFonts w:cs="FrankRuehl" w:hint="cs"/>
          <w:b/>
          <w:bCs/>
          <w:vanish/>
          <w:sz w:val="20"/>
          <w:szCs w:val="20"/>
          <w:shd w:val="clear" w:color="auto" w:fill="FFFF99"/>
          <w:rtl/>
        </w:rPr>
      </w:pPr>
      <w:r w:rsidRPr="00801263">
        <w:rPr>
          <w:rFonts w:cs="FrankRuehl" w:hint="cs"/>
          <w:b/>
          <w:bCs/>
          <w:vanish/>
          <w:szCs w:val="20"/>
          <w:shd w:val="clear" w:color="auto" w:fill="FFFF99"/>
          <w:rtl/>
        </w:rPr>
        <w:t>תק' תשמ"ד-1984</w:t>
      </w:r>
    </w:p>
    <w:p w:rsidR="00205A84" w:rsidRPr="00801263" w:rsidRDefault="00205A84" w:rsidP="00205A84">
      <w:pPr>
        <w:pStyle w:val="P00"/>
        <w:spacing w:before="0"/>
        <w:ind w:left="0" w:right="1134"/>
        <w:rPr>
          <w:rFonts w:cs="FrankRuehl" w:hint="cs"/>
          <w:vanish/>
          <w:szCs w:val="20"/>
          <w:shd w:val="clear" w:color="auto" w:fill="FFFF99"/>
          <w:rtl/>
        </w:rPr>
      </w:pPr>
      <w:hyperlink r:id="rId10" w:history="1">
        <w:r w:rsidRPr="00801263">
          <w:rPr>
            <w:rStyle w:val="Hyperlink"/>
            <w:rFonts w:cs="FrankRuehl" w:hint="cs"/>
            <w:vanish/>
            <w:szCs w:val="20"/>
            <w:shd w:val="clear" w:color="auto" w:fill="FFFF99"/>
            <w:rtl/>
          </w:rPr>
          <w:t>ק</w:t>
        </w:r>
        <w:r w:rsidRPr="00801263">
          <w:rPr>
            <w:rStyle w:val="Hyperlink"/>
            <w:rFonts w:cs="FrankRuehl"/>
            <w:vanish/>
            <w:szCs w:val="20"/>
            <w:shd w:val="clear" w:color="auto" w:fill="FFFF99"/>
            <w:rtl/>
          </w:rPr>
          <w:t>"</w:t>
        </w:r>
        <w:r w:rsidRPr="00801263">
          <w:rPr>
            <w:rStyle w:val="Hyperlink"/>
            <w:rFonts w:cs="FrankRuehl" w:hint="cs"/>
            <w:vanish/>
            <w:szCs w:val="20"/>
            <w:shd w:val="clear" w:color="auto" w:fill="FFFF99"/>
            <w:rtl/>
          </w:rPr>
          <w:t>ת תשמ"ד מס' 4604</w:t>
        </w:r>
      </w:hyperlink>
      <w:r w:rsidRPr="00801263">
        <w:rPr>
          <w:rFonts w:cs="FrankRuehl" w:hint="cs"/>
          <w:vanish/>
          <w:szCs w:val="20"/>
          <w:shd w:val="clear" w:color="auto" w:fill="FFFF99"/>
          <w:rtl/>
        </w:rPr>
        <w:t xml:space="preserve"> מיום 18</w:t>
      </w:r>
      <w:r w:rsidRPr="00801263">
        <w:rPr>
          <w:rFonts w:cs="FrankRuehl"/>
          <w:vanish/>
          <w:szCs w:val="20"/>
          <w:shd w:val="clear" w:color="auto" w:fill="FFFF99"/>
          <w:rtl/>
        </w:rPr>
        <w:t xml:space="preserve">.3.1984 </w:t>
      </w:r>
      <w:r w:rsidRPr="00801263">
        <w:rPr>
          <w:rFonts w:cs="FrankRuehl" w:hint="cs"/>
          <w:vanish/>
          <w:szCs w:val="20"/>
          <w:shd w:val="clear" w:color="auto" w:fill="FFFF99"/>
          <w:rtl/>
        </w:rPr>
        <w:t>עמ' 1081</w:t>
      </w:r>
    </w:p>
    <w:p w:rsidR="00205A84" w:rsidRPr="00F4165B" w:rsidRDefault="00205A84" w:rsidP="00F4165B">
      <w:pPr>
        <w:pStyle w:val="P00"/>
        <w:spacing w:before="0"/>
        <w:ind w:left="0" w:right="1134"/>
        <w:rPr>
          <w:rStyle w:val="default"/>
          <w:rFonts w:cs="FrankRuehl" w:hint="cs"/>
          <w:b/>
          <w:bCs/>
          <w:sz w:val="2"/>
          <w:szCs w:val="2"/>
          <w:rtl/>
        </w:rPr>
      </w:pPr>
      <w:r w:rsidRPr="00801263">
        <w:rPr>
          <w:rFonts w:cs="FrankRuehl" w:hint="cs"/>
          <w:b/>
          <w:bCs/>
          <w:vanish/>
          <w:szCs w:val="20"/>
          <w:shd w:val="clear" w:color="auto" w:fill="FFFF99"/>
          <w:rtl/>
        </w:rPr>
        <w:t>הוספת תקנה 5ד</w:t>
      </w:r>
      <w:bookmarkEnd w:id="12"/>
    </w:p>
    <w:p w:rsidR="00D16A0E" w:rsidRDefault="00D16A0E">
      <w:pPr>
        <w:pStyle w:val="P00"/>
        <w:spacing w:before="72"/>
        <w:ind w:left="0" w:right="1134"/>
        <w:rPr>
          <w:rStyle w:val="default"/>
          <w:rFonts w:cs="FrankRuehl"/>
          <w:rtl/>
        </w:rPr>
      </w:pPr>
      <w:bookmarkStart w:id="13" w:name="Seif9"/>
      <w:bookmarkEnd w:id="13"/>
      <w:r w:rsidRPr="00F4165B">
        <w:rPr>
          <w:lang w:val="he-IL"/>
        </w:rPr>
        <w:lastRenderedPageBreak/>
        <w:pict>
          <v:rect id="_x0000_s1035" style="position:absolute;left:0;text-align:left;margin-left:464.5pt;margin-top:8.05pt;width:75.05pt;height:15.1pt;z-index:251661312" o:allowincell="f" filled="f" stroked="f" strokecolor="lime" strokeweight=".25pt">
            <v:textbox inset="0,0,0,0">
              <w:txbxContent>
                <w:p w:rsidR="00D16A0E" w:rsidRDefault="00D16A0E">
                  <w:pPr>
                    <w:spacing w:line="160" w:lineRule="exact"/>
                    <w:jc w:val="left"/>
                    <w:rPr>
                      <w:rFonts w:cs="Miriam"/>
                      <w:noProof/>
                      <w:sz w:val="18"/>
                      <w:szCs w:val="18"/>
                      <w:rtl/>
                    </w:rPr>
                  </w:pPr>
                  <w:r>
                    <w:rPr>
                      <w:rFonts w:cs="Miriam"/>
                      <w:sz w:val="18"/>
                      <w:szCs w:val="18"/>
                      <w:rtl/>
                    </w:rPr>
                    <w:t>עי</w:t>
                  </w:r>
                  <w:r>
                    <w:rPr>
                      <w:rFonts w:cs="Miriam" w:hint="cs"/>
                      <w:sz w:val="18"/>
                      <w:szCs w:val="18"/>
                      <w:rtl/>
                    </w:rPr>
                    <w:t>כוב הליכים</w:t>
                  </w:r>
                </w:p>
              </w:txbxContent>
            </v:textbox>
            <w10:anchorlock/>
          </v:rect>
        </w:pict>
      </w:r>
      <w:r w:rsidRPr="00F4165B">
        <w:rPr>
          <w:rStyle w:val="big-number"/>
          <w:rFonts w:cs="Miriam"/>
          <w:rtl/>
        </w:rPr>
        <w:t>6.</w:t>
      </w:r>
      <w:r w:rsidRPr="00F4165B">
        <w:rPr>
          <w:rStyle w:val="big-number"/>
          <w:rFonts w:cs="Miriam"/>
          <w:rtl/>
        </w:rPr>
        <w:tab/>
      </w:r>
      <w:r w:rsidRPr="00F4165B">
        <w:rPr>
          <w:rStyle w:val="default"/>
          <w:rFonts w:cs="FrankRuehl"/>
          <w:rtl/>
        </w:rPr>
        <w:t>הי</w:t>
      </w:r>
      <w:r w:rsidRPr="00F4165B">
        <w:rPr>
          <w:rStyle w:val="default"/>
          <w:rFonts w:cs="FrankRuehl" w:hint="cs"/>
          <w:rtl/>
        </w:rPr>
        <w:t>ועץ המשפטי לממשלה רשאי להורות על סגירת תיק חקירה ועל עיכוב הליכים במשפט</w:t>
      </w:r>
      <w:r>
        <w:rPr>
          <w:rStyle w:val="default"/>
          <w:rFonts w:cs="FrankRuehl" w:hint="cs"/>
          <w:rtl/>
        </w:rPr>
        <w:t xml:space="preserve"> שטרם הוכרע בו הדין, בקשר לעבירה שנעברה בשטח רמת הגולן ערב תחילתו של החוק או הוא סבור שאין בחקירה או במשפט ענין ציבורי, או שלא נמצאו ראיות </w:t>
      </w:r>
      <w:r>
        <w:rPr>
          <w:rStyle w:val="default"/>
          <w:rFonts w:cs="FrankRuehl"/>
          <w:rtl/>
        </w:rPr>
        <w:t>מ</w:t>
      </w:r>
      <w:r>
        <w:rPr>
          <w:rStyle w:val="default"/>
          <w:rFonts w:cs="FrankRuehl" w:hint="cs"/>
          <w:rtl/>
        </w:rPr>
        <w:t>ספיקות.</w:t>
      </w:r>
    </w:p>
    <w:p w:rsidR="00D16A0E" w:rsidRDefault="00D16A0E">
      <w:pPr>
        <w:pStyle w:val="P00"/>
        <w:spacing w:before="72"/>
        <w:ind w:left="0" w:right="1134"/>
        <w:rPr>
          <w:rStyle w:val="default"/>
          <w:rFonts w:cs="FrankRuehl"/>
          <w:rtl/>
        </w:rPr>
      </w:pPr>
      <w:bookmarkStart w:id="14" w:name="Seif10"/>
      <w:bookmarkEnd w:id="14"/>
      <w:r>
        <w:rPr>
          <w:lang w:val="he-IL"/>
        </w:rPr>
        <w:pict>
          <v:rect id="_x0000_s1036" style="position:absolute;left:0;text-align:left;margin-left:464.5pt;margin-top:8.05pt;width:75.05pt;height:13.95pt;z-index:251662336" o:allowincell="f" filled="f" stroked="f" strokecolor="lime" strokeweight=".25pt">
            <v:textbox inset="0,0,0,0">
              <w:txbxContent>
                <w:p w:rsidR="00D16A0E" w:rsidRDefault="00D16A0E">
                  <w:pPr>
                    <w:spacing w:line="160" w:lineRule="exact"/>
                    <w:jc w:val="left"/>
                    <w:rPr>
                      <w:rFonts w:cs="Miriam"/>
                      <w:noProof/>
                      <w:sz w:val="18"/>
                      <w:szCs w:val="18"/>
                      <w:rtl/>
                    </w:rPr>
                  </w:pPr>
                  <w:r>
                    <w:rPr>
                      <w:rFonts w:cs="Miriam"/>
                      <w:sz w:val="18"/>
                      <w:szCs w:val="18"/>
                      <w:rtl/>
                    </w:rPr>
                    <w:t>מא</w:t>
                  </w:r>
                  <w:r>
                    <w:rPr>
                      <w:rFonts w:cs="Miriam" w:hint="cs"/>
                      <w:sz w:val="18"/>
                      <w:szCs w:val="18"/>
                      <w:rtl/>
                    </w:rPr>
                    <w:t>סר קודם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שערב תח</w:t>
      </w:r>
      <w:r>
        <w:rPr>
          <w:rStyle w:val="default"/>
          <w:rFonts w:cs="FrankRuehl"/>
          <w:rtl/>
        </w:rPr>
        <w:t>יל</w:t>
      </w:r>
      <w:r>
        <w:rPr>
          <w:rStyle w:val="default"/>
          <w:rFonts w:cs="FrankRuehl" w:hint="cs"/>
          <w:rtl/>
        </w:rPr>
        <w:t>תו של החוק נשא בעונש מאסר שגזר עליו בית המשפט או בית המשפט לערעורים, דינו לענין תקופת מאסרו ולענין חנינה כדין מי שבית משפט בישראל גזר עליו מאסר.</w:t>
      </w:r>
    </w:p>
    <w:p w:rsidR="00D16A0E" w:rsidRDefault="00D16A0E" w:rsidP="008012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שערב תחילתו של החוק נשא בעונש מאסר שגזר עליו בית משפט צבאי שכו</w:t>
      </w:r>
      <w:r>
        <w:rPr>
          <w:rStyle w:val="default"/>
          <w:rFonts w:cs="FrankRuehl"/>
          <w:rtl/>
        </w:rPr>
        <w:t>נ</w:t>
      </w:r>
      <w:r>
        <w:rPr>
          <w:rStyle w:val="default"/>
          <w:rFonts w:cs="FrankRuehl" w:hint="cs"/>
          <w:rtl/>
        </w:rPr>
        <w:t>ן לפי צו בדבר הוראות בטחון, תש"ל</w:t>
      </w:r>
      <w:r w:rsidR="00801263">
        <w:rPr>
          <w:rStyle w:val="default"/>
          <w:rFonts w:cs="FrankRuehl" w:hint="cs"/>
          <w:rtl/>
        </w:rPr>
        <w:t>-</w:t>
      </w:r>
      <w:r>
        <w:rPr>
          <w:rStyle w:val="default"/>
          <w:rFonts w:cs="FrankRuehl"/>
          <w:rtl/>
        </w:rPr>
        <w:t>1970, ש</w:t>
      </w:r>
      <w:r>
        <w:rPr>
          <w:rStyle w:val="default"/>
          <w:rFonts w:cs="FrankRuehl" w:hint="cs"/>
          <w:rtl/>
        </w:rPr>
        <w:t>הוציא מפקח כוחות צה"ל באיזור רמת הגולן, דינו לענין תקופת מאסרו ולענין חנינה כדין מי שבית משפט צבאי בישראל גזר עליו מאסר.</w:t>
      </w:r>
    </w:p>
    <w:p w:rsidR="00D16A0E" w:rsidRDefault="00D16A0E">
      <w:pPr>
        <w:pStyle w:val="P00"/>
        <w:spacing w:before="72"/>
        <w:ind w:left="0" w:right="1134"/>
        <w:rPr>
          <w:rStyle w:val="default"/>
          <w:rFonts w:cs="FrankRuehl"/>
          <w:rtl/>
        </w:rPr>
      </w:pPr>
      <w:bookmarkStart w:id="15" w:name="Seif11"/>
      <w:bookmarkEnd w:id="15"/>
      <w:r>
        <w:rPr>
          <w:lang w:val="he-IL"/>
        </w:rPr>
        <w:pict>
          <v:rect id="_x0000_s1037" style="position:absolute;left:0;text-align:left;margin-left:464.5pt;margin-top:8.05pt;width:75.05pt;height:15.05pt;z-index:251663360" o:allowincell="f" filled="f" stroked="f" strokecolor="lime" strokeweight=".25pt">
            <v:textbox inset="0,0,0,0">
              <w:txbxContent>
                <w:p w:rsidR="00D16A0E" w:rsidRDefault="00D16A0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8.</w:t>
      </w:r>
      <w:r>
        <w:rPr>
          <w:rStyle w:val="big-number"/>
          <w:rFonts w:cs="Miriam"/>
          <w:rtl/>
        </w:rPr>
        <w:tab/>
      </w:r>
      <w:r>
        <w:rPr>
          <w:rStyle w:val="default"/>
          <w:rFonts w:cs="FrankRuehl"/>
          <w:rtl/>
        </w:rPr>
        <w:t>תח</w:t>
      </w:r>
      <w:r>
        <w:rPr>
          <w:rStyle w:val="default"/>
          <w:rFonts w:cs="FrankRuehl" w:hint="cs"/>
          <w:rtl/>
        </w:rPr>
        <w:t>ילתן של תקנות אלה ביום תחילת החוק.</w:t>
      </w:r>
    </w:p>
    <w:p w:rsidR="00D16A0E" w:rsidRDefault="00D16A0E">
      <w:pPr>
        <w:pStyle w:val="P00"/>
        <w:spacing w:before="72"/>
        <w:ind w:left="0" w:right="1134"/>
        <w:rPr>
          <w:rStyle w:val="default"/>
          <w:rFonts w:cs="FrankRuehl" w:hint="cs"/>
          <w:rtl/>
        </w:rPr>
      </w:pPr>
    </w:p>
    <w:p w:rsidR="00801263" w:rsidRDefault="00801263">
      <w:pPr>
        <w:pStyle w:val="P00"/>
        <w:spacing w:before="72"/>
        <w:ind w:left="0" w:right="1134"/>
        <w:rPr>
          <w:rStyle w:val="default"/>
          <w:rFonts w:cs="FrankRuehl" w:hint="cs"/>
          <w:rtl/>
        </w:rPr>
      </w:pPr>
    </w:p>
    <w:p w:rsidR="00D16A0E" w:rsidRDefault="00D16A0E">
      <w:pPr>
        <w:pStyle w:val="sig-0"/>
        <w:ind w:left="0" w:right="1134"/>
        <w:rPr>
          <w:rFonts w:cs="FrankRuehl"/>
          <w:sz w:val="26"/>
          <w:rtl/>
        </w:rPr>
      </w:pPr>
      <w:r>
        <w:rPr>
          <w:rFonts w:cs="FrankRuehl"/>
          <w:sz w:val="26"/>
          <w:rtl/>
        </w:rPr>
        <w:t>כ"</w:t>
      </w:r>
      <w:r>
        <w:rPr>
          <w:rFonts w:cs="FrankRuehl" w:hint="cs"/>
          <w:sz w:val="26"/>
          <w:rtl/>
        </w:rPr>
        <w:t>ו בכסלו תשמ"ב (22 בדצמבר 1981)</w:t>
      </w:r>
      <w:r>
        <w:rPr>
          <w:rFonts w:cs="FrankRuehl"/>
          <w:sz w:val="26"/>
          <w:rtl/>
        </w:rPr>
        <w:tab/>
        <w:t>י</w:t>
      </w:r>
      <w:r>
        <w:rPr>
          <w:rFonts w:cs="FrankRuehl" w:hint="cs"/>
          <w:sz w:val="26"/>
          <w:rtl/>
        </w:rPr>
        <w:t>וסף בורג</w:t>
      </w:r>
    </w:p>
    <w:p w:rsidR="00D16A0E" w:rsidRDefault="00D16A0E">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801263" w:rsidRPr="00801263" w:rsidRDefault="00801263" w:rsidP="00801263">
      <w:pPr>
        <w:pStyle w:val="P00"/>
        <w:spacing w:before="72"/>
        <w:ind w:left="0" w:right="1134"/>
        <w:rPr>
          <w:rStyle w:val="default"/>
          <w:rFonts w:cs="FrankRuehl" w:hint="cs"/>
          <w:rtl/>
        </w:rPr>
      </w:pPr>
    </w:p>
    <w:p w:rsidR="00801263" w:rsidRPr="00801263" w:rsidRDefault="00801263" w:rsidP="00801263">
      <w:pPr>
        <w:pStyle w:val="P00"/>
        <w:spacing w:before="72"/>
        <w:ind w:left="0" w:right="1134"/>
        <w:rPr>
          <w:rStyle w:val="default"/>
          <w:rFonts w:cs="FrankRuehl"/>
          <w:rtl/>
        </w:rPr>
      </w:pPr>
    </w:p>
    <w:p w:rsidR="00D16A0E" w:rsidRPr="00801263" w:rsidRDefault="00D16A0E" w:rsidP="00801263">
      <w:pPr>
        <w:pStyle w:val="P00"/>
        <w:spacing w:before="72"/>
        <w:ind w:left="0" w:right="1134"/>
        <w:rPr>
          <w:rStyle w:val="default"/>
          <w:rFonts w:cs="FrankRuehl"/>
          <w:rtl/>
        </w:rPr>
      </w:pPr>
      <w:bookmarkStart w:id="16" w:name="LawPartEnd"/>
    </w:p>
    <w:bookmarkEnd w:id="16"/>
    <w:p w:rsidR="00D47558" w:rsidRDefault="00D47558" w:rsidP="00D47558">
      <w:pPr>
        <w:pStyle w:val="P00"/>
        <w:spacing w:before="72"/>
        <w:ind w:left="0" w:right="1134"/>
        <w:rPr>
          <w:rStyle w:val="default"/>
          <w:rFonts w:cs="FrankRuehl"/>
          <w:sz w:val="16"/>
          <w:szCs w:val="16"/>
        </w:rPr>
      </w:pPr>
      <w:r>
        <w:rPr>
          <w:rStyle w:val="default"/>
          <w:rFonts w:cs="FrankRuehl" w:hint="cs"/>
          <w:sz w:val="16"/>
          <w:szCs w:val="16"/>
          <w:rtl/>
        </w:rPr>
        <w:t>גפני</w:t>
      </w:r>
    </w:p>
    <w:p w:rsidR="00D16A0E" w:rsidRPr="00801263" w:rsidRDefault="00D16A0E" w:rsidP="00801263">
      <w:pPr>
        <w:pStyle w:val="P00"/>
        <w:spacing w:before="72"/>
        <w:ind w:left="0" w:right="1134"/>
        <w:rPr>
          <w:rStyle w:val="default"/>
          <w:rFonts w:cs="FrankRuehl"/>
          <w:rtl/>
        </w:rPr>
      </w:pPr>
    </w:p>
    <w:sectPr w:rsidR="00D16A0E" w:rsidRPr="00801263">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C8E" w:rsidRDefault="00D72C8E">
      <w:r>
        <w:separator/>
      </w:r>
    </w:p>
  </w:endnote>
  <w:endnote w:type="continuationSeparator" w:id="0">
    <w:p w:rsidR="00D72C8E" w:rsidRDefault="00D7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0E" w:rsidRDefault="00D16A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16A0E" w:rsidRDefault="00D16A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6A0E" w:rsidRDefault="00D16A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1263">
      <w:rPr>
        <w:rFonts w:cs="TopType Jerushalmi"/>
        <w:noProof/>
        <w:color w:val="000000"/>
        <w:sz w:val="14"/>
        <w:szCs w:val="14"/>
      </w:rPr>
      <w:t>D:\Yael\hakika\Revadim\p212m2_002.doc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0E" w:rsidRDefault="00D16A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7558">
      <w:rPr>
        <w:rFonts w:hAnsi="FrankRuehl" w:cs="FrankRuehl"/>
        <w:noProof/>
        <w:sz w:val="24"/>
        <w:szCs w:val="24"/>
        <w:rtl/>
      </w:rPr>
      <w:t>3</w:t>
    </w:r>
    <w:r>
      <w:rPr>
        <w:rFonts w:hAnsi="FrankRuehl" w:cs="FrankRuehl"/>
        <w:sz w:val="24"/>
        <w:szCs w:val="24"/>
        <w:rtl/>
      </w:rPr>
      <w:fldChar w:fldCharType="end"/>
    </w:r>
  </w:p>
  <w:p w:rsidR="00D16A0E" w:rsidRDefault="00D16A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6A0E" w:rsidRDefault="00D16A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1263">
      <w:rPr>
        <w:rFonts w:cs="TopType Jerushalmi"/>
        <w:noProof/>
        <w:color w:val="000000"/>
        <w:sz w:val="14"/>
        <w:szCs w:val="14"/>
      </w:rPr>
      <w:t>D:\Yael\hakika\Revadim\p212m2_002.doc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C8E" w:rsidRDefault="00D72C8E" w:rsidP="00801263">
      <w:pPr>
        <w:spacing w:before="60" w:line="240" w:lineRule="auto"/>
        <w:ind w:right="1134"/>
      </w:pPr>
      <w:r>
        <w:separator/>
      </w:r>
    </w:p>
  </w:footnote>
  <w:footnote w:type="continuationSeparator" w:id="0">
    <w:p w:rsidR="00D72C8E" w:rsidRDefault="00D72C8E">
      <w:r>
        <w:continuationSeparator/>
      </w:r>
    </w:p>
  </w:footnote>
  <w:footnote w:id="1">
    <w:p w:rsidR="00801263" w:rsidRDefault="00801263" w:rsidP="008012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01263">
        <w:rPr>
          <w:rFonts w:cs="FrankRuehl"/>
          <w:rtl/>
        </w:rPr>
        <w:t xml:space="preserve">* </w:t>
      </w:r>
      <w:r>
        <w:rPr>
          <w:rFonts w:cs="FrankRuehl"/>
          <w:rtl/>
        </w:rPr>
        <w:t>פו</w:t>
      </w:r>
      <w:r>
        <w:rPr>
          <w:rFonts w:cs="FrankRuehl" w:hint="cs"/>
          <w:rtl/>
        </w:rPr>
        <w:t xml:space="preserve">רסמו </w:t>
      </w:r>
      <w:hyperlink r:id="rId1" w:history="1">
        <w:r w:rsidRPr="00094747">
          <w:rPr>
            <w:rStyle w:val="Hyperlink"/>
            <w:rFonts w:cs="FrankRuehl"/>
            <w:rtl/>
          </w:rPr>
          <w:t>ק"</w:t>
        </w:r>
        <w:r w:rsidRPr="00094747">
          <w:rPr>
            <w:rStyle w:val="Hyperlink"/>
            <w:rFonts w:cs="FrankRuehl" w:hint="cs"/>
            <w:rtl/>
          </w:rPr>
          <w:t>ת תשמ"ב מס' 4297</w:t>
        </w:r>
      </w:hyperlink>
      <w:r>
        <w:rPr>
          <w:rFonts w:cs="FrankRuehl" w:hint="cs"/>
          <w:rtl/>
        </w:rPr>
        <w:t xml:space="preserve"> מיום 23.12.1981 עמ' 362.</w:t>
      </w:r>
    </w:p>
    <w:p w:rsidR="0007158C" w:rsidRDefault="00801263" w:rsidP="000715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094747">
          <w:rPr>
            <w:rStyle w:val="Hyperlink"/>
            <w:rFonts w:cs="FrankRuehl" w:hint="cs"/>
            <w:rtl/>
          </w:rPr>
          <w:t>ק"ת תשמ"ב מס' 4308</w:t>
        </w:r>
      </w:hyperlink>
      <w:r>
        <w:rPr>
          <w:rFonts w:cs="FrankRuehl" w:hint="cs"/>
          <w:rtl/>
        </w:rPr>
        <w:t xml:space="preserve"> מיום 17.1.1982 עמ' 506 </w:t>
      </w:r>
      <w:r>
        <w:rPr>
          <w:rFonts w:cs="FrankRuehl"/>
          <w:rtl/>
        </w:rPr>
        <w:t>–</w:t>
      </w:r>
      <w:r>
        <w:rPr>
          <w:rFonts w:cs="FrankRuehl" w:hint="cs"/>
          <w:rtl/>
        </w:rPr>
        <w:t xml:space="preserve"> </w:t>
      </w:r>
      <w:r w:rsidRPr="00BC035E">
        <w:rPr>
          <w:rFonts w:cs="FrankRuehl" w:hint="cs"/>
          <w:rtl/>
        </w:rPr>
        <w:t>תק'</w:t>
      </w:r>
      <w:r>
        <w:rPr>
          <w:rFonts w:cs="FrankRuehl" w:hint="cs"/>
          <w:rtl/>
        </w:rPr>
        <w:t xml:space="preserve"> תשמ"ב-1982. </w:t>
      </w:r>
    </w:p>
    <w:p w:rsidR="00801263" w:rsidRDefault="0007158C" w:rsidP="000715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07158C">
          <w:rPr>
            <w:rStyle w:val="Hyperlink"/>
            <w:rFonts w:cs="FrankRuehl" w:hint="cs"/>
            <w:rtl/>
          </w:rPr>
          <w:t xml:space="preserve">ק"ת תשמ"ב </w:t>
        </w:r>
        <w:r w:rsidR="00801263" w:rsidRPr="0007158C">
          <w:rPr>
            <w:rStyle w:val="Hyperlink"/>
            <w:rFonts w:cs="FrankRuehl" w:hint="cs"/>
            <w:rtl/>
          </w:rPr>
          <w:t>מס' 4408</w:t>
        </w:r>
      </w:hyperlink>
      <w:r w:rsidR="00801263">
        <w:rPr>
          <w:rFonts w:cs="FrankRuehl" w:hint="cs"/>
          <w:rtl/>
        </w:rPr>
        <w:t xml:space="preserve"> מיום 17.9.1982 עמ' 1682 </w:t>
      </w:r>
      <w:r w:rsidR="00801263">
        <w:rPr>
          <w:rFonts w:cs="FrankRuehl"/>
          <w:rtl/>
        </w:rPr>
        <w:t>–</w:t>
      </w:r>
      <w:r w:rsidR="00801263">
        <w:rPr>
          <w:rFonts w:cs="FrankRuehl" w:hint="cs"/>
          <w:rtl/>
        </w:rPr>
        <w:t xml:space="preserve"> תק' (מס' 2) תשמ"ב-</w:t>
      </w:r>
      <w:r w:rsidR="00801263">
        <w:rPr>
          <w:rFonts w:cs="FrankRuehl"/>
          <w:rtl/>
        </w:rPr>
        <w:t>1982.</w:t>
      </w:r>
    </w:p>
    <w:p w:rsidR="00801263" w:rsidRPr="00801263" w:rsidRDefault="00801263" w:rsidP="008012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094747">
          <w:rPr>
            <w:rStyle w:val="Hyperlink"/>
            <w:rFonts w:cs="FrankRuehl" w:hint="cs"/>
            <w:rtl/>
          </w:rPr>
          <w:t>ק</w:t>
        </w:r>
        <w:r w:rsidRPr="00094747">
          <w:rPr>
            <w:rStyle w:val="Hyperlink"/>
            <w:rFonts w:cs="FrankRuehl"/>
            <w:rtl/>
          </w:rPr>
          <w:t>"</w:t>
        </w:r>
        <w:r w:rsidRPr="00094747">
          <w:rPr>
            <w:rStyle w:val="Hyperlink"/>
            <w:rFonts w:cs="FrankRuehl" w:hint="cs"/>
            <w:rtl/>
          </w:rPr>
          <w:t>ת תשמ"ד מס' 4604</w:t>
        </w:r>
      </w:hyperlink>
      <w:r>
        <w:rPr>
          <w:rFonts w:cs="FrankRuehl" w:hint="cs"/>
          <w:rtl/>
        </w:rPr>
        <w:t xml:space="preserve"> מיום 18</w:t>
      </w:r>
      <w:r>
        <w:rPr>
          <w:rFonts w:cs="FrankRuehl"/>
          <w:rtl/>
        </w:rPr>
        <w:t xml:space="preserve">.3.1984 </w:t>
      </w:r>
      <w:r>
        <w:rPr>
          <w:rFonts w:cs="FrankRuehl" w:hint="cs"/>
          <w:rtl/>
        </w:rPr>
        <w:t xml:space="preserve">עמ' 1081 </w:t>
      </w:r>
      <w:r>
        <w:rPr>
          <w:rFonts w:cs="FrankRuehl"/>
          <w:rtl/>
        </w:rPr>
        <w:t>–</w:t>
      </w:r>
      <w:r>
        <w:rPr>
          <w:rFonts w:cs="FrankRuehl" w:hint="cs"/>
          <w:rtl/>
        </w:rPr>
        <w:t xml:space="preserve"> </w:t>
      </w:r>
      <w:r w:rsidRPr="00BC035E">
        <w:rPr>
          <w:rFonts w:cs="FrankRuehl" w:hint="cs"/>
          <w:rtl/>
        </w:rPr>
        <w:t>תק'</w:t>
      </w:r>
      <w:r>
        <w:rPr>
          <w:rFonts w:cs="FrankRuehl" w:hint="cs"/>
          <w:rtl/>
        </w:rPr>
        <w:t xml:space="preserve"> תשמ"ד-1984.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0E" w:rsidRDefault="00D16A0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רמת הגולן (הליכי משפט) (הוראות מעבר), תשמ"ב–1981</w:t>
    </w:r>
  </w:p>
  <w:p w:rsidR="00D16A0E" w:rsidRDefault="00D16A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6A0E" w:rsidRDefault="00D16A0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0E" w:rsidRDefault="00D16A0E" w:rsidP="0080126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רמת הגולן (הליכי משפט) (הוראות מעבר), תשמ"ב</w:t>
    </w:r>
    <w:r w:rsidR="00801263">
      <w:rPr>
        <w:rFonts w:hAnsi="FrankRuehl" w:cs="FrankRuehl" w:hint="cs"/>
        <w:color w:val="000000"/>
        <w:sz w:val="28"/>
        <w:szCs w:val="28"/>
        <w:rtl/>
      </w:rPr>
      <w:t>-</w:t>
    </w:r>
    <w:r>
      <w:rPr>
        <w:rFonts w:hAnsi="FrankRuehl" w:cs="FrankRuehl"/>
        <w:color w:val="000000"/>
        <w:sz w:val="28"/>
        <w:szCs w:val="28"/>
        <w:rtl/>
      </w:rPr>
      <w:t>1981</w:t>
    </w:r>
  </w:p>
  <w:p w:rsidR="00D16A0E" w:rsidRDefault="00D16A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6A0E" w:rsidRDefault="00D16A0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F2F"/>
    <w:rsid w:val="0007158C"/>
    <w:rsid w:val="00094747"/>
    <w:rsid w:val="000A72E0"/>
    <w:rsid w:val="000F0B1D"/>
    <w:rsid w:val="00155470"/>
    <w:rsid w:val="00205A84"/>
    <w:rsid w:val="00217C03"/>
    <w:rsid w:val="00272A61"/>
    <w:rsid w:val="00277978"/>
    <w:rsid w:val="00323F2F"/>
    <w:rsid w:val="003A4B80"/>
    <w:rsid w:val="003D147D"/>
    <w:rsid w:val="0047339D"/>
    <w:rsid w:val="0053548A"/>
    <w:rsid w:val="005F37D8"/>
    <w:rsid w:val="00663A5B"/>
    <w:rsid w:val="00673A5B"/>
    <w:rsid w:val="00801263"/>
    <w:rsid w:val="00815D8C"/>
    <w:rsid w:val="008A0C78"/>
    <w:rsid w:val="00AB46FE"/>
    <w:rsid w:val="00AB7B18"/>
    <w:rsid w:val="00AD77BE"/>
    <w:rsid w:val="00BC035E"/>
    <w:rsid w:val="00C02C30"/>
    <w:rsid w:val="00D16A0E"/>
    <w:rsid w:val="00D47558"/>
    <w:rsid w:val="00D72C8E"/>
    <w:rsid w:val="00E762F5"/>
    <w:rsid w:val="00E944F2"/>
    <w:rsid w:val="00EB0682"/>
    <w:rsid w:val="00F416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04C8674-9D7D-4367-8EA2-72F8020B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801263"/>
    <w:rPr>
      <w:sz w:val="20"/>
      <w:szCs w:val="20"/>
    </w:rPr>
  </w:style>
  <w:style w:type="character" w:styleId="a6">
    <w:name w:val="footnote reference"/>
    <w:basedOn w:val="a0"/>
    <w:semiHidden/>
    <w:rsid w:val="008012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408.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4308.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308.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4604.pdf" TargetMode="External"/><Relationship Id="rId4" Type="http://schemas.openxmlformats.org/officeDocument/2006/relationships/footnotes" Target="footnotes.xml"/><Relationship Id="rId9" Type="http://schemas.openxmlformats.org/officeDocument/2006/relationships/hyperlink" Target="http://www.nevo.co.il/Law_word/law06/TAK-4408.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408.pdf" TargetMode="External"/><Relationship Id="rId2" Type="http://schemas.openxmlformats.org/officeDocument/2006/relationships/hyperlink" Target="http://www.nevo.co.il/Law_word/law06/TAK-4308.pdf" TargetMode="External"/><Relationship Id="rId1" Type="http://schemas.openxmlformats.org/officeDocument/2006/relationships/hyperlink" Target="http://www.nevo.co.il/Law_word/law06/TAK-4297.pdf" TargetMode="External"/><Relationship Id="rId4" Type="http://schemas.openxmlformats.org/officeDocument/2006/relationships/hyperlink" Target="http://www.nevo.co.il/Law_word/law06/TAK-46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4669</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פרק 2/212</vt:lpstr>
    </vt:vector>
  </TitlesOfParts>
  <Company/>
  <LinksUpToDate>false</LinksUpToDate>
  <CharactersWithSpaces>5477</CharactersWithSpaces>
  <SharedDoc>false</SharedDoc>
  <HLinks>
    <vt:vector size="126" baseType="variant">
      <vt:variant>
        <vt:i4>8192010</vt:i4>
      </vt:variant>
      <vt:variant>
        <vt:i4>84</vt:i4>
      </vt:variant>
      <vt:variant>
        <vt:i4>0</vt:i4>
      </vt:variant>
      <vt:variant>
        <vt:i4>5</vt:i4>
      </vt:variant>
      <vt:variant>
        <vt:lpwstr>http://www.nevo.co.il/Law_word/law06/TAK-4604.pdf</vt:lpwstr>
      </vt:variant>
      <vt:variant>
        <vt:lpwstr/>
      </vt:variant>
      <vt:variant>
        <vt:i4>8192004</vt:i4>
      </vt:variant>
      <vt:variant>
        <vt:i4>81</vt:i4>
      </vt:variant>
      <vt:variant>
        <vt:i4>0</vt:i4>
      </vt:variant>
      <vt:variant>
        <vt:i4>5</vt:i4>
      </vt:variant>
      <vt:variant>
        <vt:lpwstr>http://www.nevo.co.il/Law_word/law06/TAK-4408.pdf</vt:lpwstr>
      </vt:variant>
      <vt:variant>
        <vt:lpwstr/>
      </vt:variant>
      <vt:variant>
        <vt:i4>8192004</vt:i4>
      </vt:variant>
      <vt:variant>
        <vt:i4>78</vt:i4>
      </vt:variant>
      <vt:variant>
        <vt:i4>0</vt:i4>
      </vt:variant>
      <vt:variant>
        <vt:i4>5</vt:i4>
      </vt:variant>
      <vt:variant>
        <vt:lpwstr>http://www.nevo.co.il/Law_word/law06/TAK-4408.pdf</vt:lpwstr>
      </vt:variant>
      <vt:variant>
        <vt:lpwstr/>
      </vt:variant>
      <vt:variant>
        <vt:i4>8192003</vt:i4>
      </vt:variant>
      <vt:variant>
        <vt:i4>75</vt:i4>
      </vt:variant>
      <vt:variant>
        <vt:i4>0</vt:i4>
      </vt:variant>
      <vt:variant>
        <vt:i4>5</vt:i4>
      </vt:variant>
      <vt:variant>
        <vt:lpwstr>http://www.nevo.co.il/Law_word/law06/TAK-4308.pdf</vt:lpwstr>
      </vt:variant>
      <vt:variant>
        <vt:lpwstr/>
      </vt:variant>
      <vt:variant>
        <vt:i4>8192003</vt:i4>
      </vt:variant>
      <vt:variant>
        <vt:i4>72</vt:i4>
      </vt:variant>
      <vt:variant>
        <vt:i4>0</vt:i4>
      </vt:variant>
      <vt:variant>
        <vt:i4>5</vt:i4>
      </vt:variant>
      <vt:variant>
        <vt:lpwstr>http://www.nevo.co.il/Law_word/law06/TAK-4308.pdf</vt:lpwstr>
      </vt:variant>
      <vt:variant>
        <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8192010</vt:i4>
      </vt:variant>
      <vt:variant>
        <vt:i4>9</vt:i4>
      </vt:variant>
      <vt:variant>
        <vt:i4>0</vt:i4>
      </vt:variant>
      <vt:variant>
        <vt:i4>5</vt:i4>
      </vt:variant>
      <vt:variant>
        <vt:lpwstr>http://www.nevo.co.il/Law_word/law06/TAK-4604.pdf</vt:lpwstr>
      </vt:variant>
      <vt:variant>
        <vt:lpwstr/>
      </vt:variant>
      <vt:variant>
        <vt:i4>8192004</vt:i4>
      </vt:variant>
      <vt:variant>
        <vt:i4>6</vt:i4>
      </vt:variant>
      <vt:variant>
        <vt:i4>0</vt:i4>
      </vt:variant>
      <vt:variant>
        <vt:i4>5</vt:i4>
      </vt:variant>
      <vt:variant>
        <vt:lpwstr>http://www.nevo.co.il/Law_word/law06/TAK-4408.pdf</vt:lpwstr>
      </vt:variant>
      <vt:variant>
        <vt:lpwstr/>
      </vt:variant>
      <vt:variant>
        <vt:i4>8192003</vt:i4>
      </vt:variant>
      <vt:variant>
        <vt:i4>3</vt:i4>
      </vt:variant>
      <vt:variant>
        <vt:i4>0</vt:i4>
      </vt:variant>
      <vt:variant>
        <vt:i4>5</vt:i4>
      </vt:variant>
      <vt:variant>
        <vt:lpwstr>http://www.nevo.co.il/Law_word/law06/TAK-4308.pdf</vt:lpwstr>
      </vt:variant>
      <vt:variant>
        <vt:lpwstr/>
      </vt:variant>
      <vt:variant>
        <vt:i4>7602189</vt:i4>
      </vt:variant>
      <vt:variant>
        <vt:i4>0</vt:i4>
      </vt:variant>
      <vt:variant>
        <vt:i4>0</vt:i4>
      </vt:variant>
      <vt:variant>
        <vt:i4>5</vt:i4>
      </vt:variant>
      <vt:variant>
        <vt:lpwstr>http://www.nevo.co.il/Law_word/law06/TAK-4297.pdf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2/212</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p212m2</vt:lpwstr>
  </property>
  <property fmtid="{D5CDD505-2E9C-101B-9397-08002B2CF9AE}" pid="3" name="CHNAME">
    <vt:lpwstr>רמת הגולן</vt:lpwstr>
  </property>
  <property fmtid="{D5CDD505-2E9C-101B-9397-08002B2CF9AE}" pid="4" name="LAWNAME">
    <vt:lpwstr>תקנות רמת הגולן (הליכי משפט) (הוראות מעבר), תשמ"ב-1981 - רבדים</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רמת הגולן</vt:lpwstr>
  </property>
  <property fmtid="{D5CDD505-2E9C-101B-9397-08002B2CF9AE}" pid="8" name="MEKOR_SAIF1">
    <vt:lpwstr>3X</vt:lpwstr>
  </property>
  <property fmtid="{D5CDD505-2E9C-101B-9397-08002B2CF9AE}" pid="9" name="NOSE11">
    <vt:lpwstr>בטחון</vt:lpwstr>
  </property>
  <property fmtid="{D5CDD505-2E9C-101B-9397-08002B2CF9AE}" pid="10" name="NOSE21">
    <vt:lpwstr>רמת הגולן</vt:lpwstr>
  </property>
  <property fmtid="{D5CDD505-2E9C-101B-9397-08002B2CF9AE}" pid="11" name="NOSE31">
    <vt:lpwstr>הוראות מעבר</vt:lpwstr>
  </property>
  <property fmtid="{D5CDD505-2E9C-101B-9397-08002B2CF9AE}" pid="12" name="NOSE41">
    <vt:lpwstr/>
  </property>
  <property fmtid="{D5CDD505-2E9C-101B-9397-08002B2CF9AE}" pid="13" name="NOSE12">
    <vt:lpwstr>בתי משפט וסדרי דין</vt:lpwstr>
  </property>
  <property fmtid="{D5CDD505-2E9C-101B-9397-08002B2CF9AE}" pid="14" name="NOSE22">
    <vt:lpwstr>סדר דין פלילי</vt:lpwstr>
  </property>
  <property fmtid="{D5CDD505-2E9C-101B-9397-08002B2CF9AE}" pid="15" name="NOSE32">
    <vt:lpwstr/>
  </property>
  <property fmtid="{D5CDD505-2E9C-101B-9397-08002B2CF9AE}" pid="16" name="NOSE42">
    <vt:lpwstr/>
  </property>
  <property fmtid="{D5CDD505-2E9C-101B-9397-08002B2CF9AE}" pid="17" name="NOSE13">
    <vt:lpwstr>בתי משפט וסדרי דין</vt:lpwstr>
  </property>
  <property fmtid="{D5CDD505-2E9C-101B-9397-08002B2CF9AE}" pid="18" name="NOSE23">
    <vt:lpwstr>סדר דין אזרחי</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