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C94" w:rsidRDefault="00F44C94" w:rsidP="00AF5A7E">
      <w:pPr>
        <w:pStyle w:val="big-header"/>
        <w:ind w:left="0" w:right="1134"/>
        <w:rPr>
          <w:rtl/>
        </w:rPr>
      </w:pPr>
      <w:r>
        <w:rPr>
          <w:rtl/>
        </w:rPr>
        <w:t>תקנות רשות הדואר (הפיקוח על פעולותיה של הרשות), תשנ"ה</w:t>
      </w:r>
      <w:r w:rsidR="00AF5A7E">
        <w:rPr>
          <w:rFonts w:hint="cs"/>
          <w:rtl/>
        </w:rPr>
        <w:t>-</w:t>
      </w:r>
      <w:r>
        <w:rPr>
          <w:rtl/>
        </w:rPr>
        <w:t>1995</w:t>
      </w:r>
    </w:p>
    <w:p w:rsidR="001D499B" w:rsidRDefault="001D499B" w:rsidP="001D499B">
      <w:pPr>
        <w:spacing w:line="320" w:lineRule="auto"/>
        <w:jc w:val="left"/>
        <w:rPr>
          <w:rFonts w:hint="cs"/>
          <w:rtl/>
        </w:rPr>
      </w:pPr>
    </w:p>
    <w:p w:rsidR="00AF4A60" w:rsidRPr="00AF4A60" w:rsidRDefault="00AF4A60" w:rsidP="00AF4A60">
      <w:pPr>
        <w:spacing w:line="320" w:lineRule="auto"/>
        <w:jc w:val="left"/>
        <w:rPr>
          <w:rFonts w:cs="Miriam" w:hint="cs"/>
          <w:szCs w:val="22"/>
          <w:rtl/>
        </w:rPr>
      </w:pPr>
      <w:r w:rsidRPr="00AF4A60">
        <w:rPr>
          <w:rFonts w:cs="Miriam"/>
          <w:szCs w:val="22"/>
          <w:rtl/>
        </w:rPr>
        <w:t>רשויות ומשפט מנהלי</w:t>
      </w:r>
      <w:r w:rsidRPr="00AF4A60">
        <w:rPr>
          <w:rFonts w:cs="FrankRuehl"/>
          <w:szCs w:val="26"/>
          <w:rtl/>
        </w:rPr>
        <w:t xml:space="preserve"> – תקשורת – דואר – חברת הדואר</w:t>
      </w:r>
    </w:p>
    <w:p w:rsidR="00F44C94" w:rsidRDefault="00F44C9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פרק א': כללי</w:t>
            </w:r>
          </w:p>
        </w:tc>
        <w:tc>
          <w:tcPr>
            <w:tcW w:w="567" w:type="dxa"/>
          </w:tcPr>
          <w:p w:rsidR="00242615" w:rsidRPr="00242615" w:rsidRDefault="00242615" w:rsidP="00242615">
            <w:pPr>
              <w:spacing w:line="240" w:lineRule="auto"/>
              <w:jc w:val="left"/>
              <w:rPr>
                <w:rStyle w:val="Hyperlink"/>
                <w:rtl/>
              </w:rPr>
            </w:pPr>
            <w:hyperlink w:anchor="med0" w:tooltip="פרק א: כללי"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r>
              <w:rPr>
                <w:rFonts w:cs="Times New Roman"/>
                <w:sz w:val="24"/>
                <w:rtl/>
              </w:rPr>
              <w:t xml:space="preserve">סעיף 1 </w:t>
            </w: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הגדרות</w:t>
            </w:r>
          </w:p>
        </w:tc>
        <w:tc>
          <w:tcPr>
            <w:tcW w:w="567" w:type="dxa"/>
          </w:tcPr>
          <w:p w:rsidR="00242615" w:rsidRPr="00242615" w:rsidRDefault="00242615" w:rsidP="00242615">
            <w:pPr>
              <w:spacing w:line="240" w:lineRule="auto"/>
              <w:jc w:val="left"/>
              <w:rPr>
                <w:rStyle w:val="Hyperlink"/>
                <w:rtl/>
              </w:rPr>
            </w:pPr>
            <w:hyperlink w:anchor="Seif1" w:tooltip="הגדרות"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פרק ב': הפיקוח על הרשות</w:t>
            </w:r>
          </w:p>
        </w:tc>
        <w:tc>
          <w:tcPr>
            <w:tcW w:w="567" w:type="dxa"/>
          </w:tcPr>
          <w:p w:rsidR="00242615" w:rsidRPr="00242615" w:rsidRDefault="00242615" w:rsidP="00242615">
            <w:pPr>
              <w:spacing w:line="240" w:lineRule="auto"/>
              <w:jc w:val="left"/>
              <w:rPr>
                <w:rStyle w:val="Hyperlink"/>
                <w:rtl/>
              </w:rPr>
            </w:pPr>
            <w:hyperlink w:anchor="med1" w:tooltip="פרק ב: הפיקוח על הרשות"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r>
              <w:rPr>
                <w:rFonts w:cs="Times New Roman"/>
                <w:sz w:val="24"/>
                <w:rtl/>
              </w:rPr>
              <w:t xml:space="preserve">סעיף 2 </w:t>
            </w: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מסירת ידיעות ומסמכים לשר</w:t>
            </w:r>
          </w:p>
        </w:tc>
        <w:tc>
          <w:tcPr>
            <w:tcW w:w="567" w:type="dxa"/>
          </w:tcPr>
          <w:p w:rsidR="00242615" w:rsidRPr="00242615" w:rsidRDefault="00242615" w:rsidP="00242615">
            <w:pPr>
              <w:spacing w:line="240" w:lineRule="auto"/>
              <w:jc w:val="left"/>
              <w:rPr>
                <w:rStyle w:val="Hyperlink"/>
                <w:rtl/>
              </w:rPr>
            </w:pPr>
            <w:hyperlink w:anchor="Seif2" w:tooltip="מסירת ידיעות ומסמכים לשר"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r>
              <w:rPr>
                <w:rFonts w:cs="Times New Roman"/>
                <w:sz w:val="24"/>
                <w:rtl/>
              </w:rPr>
              <w:t xml:space="preserve">סעיף 3 </w:t>
            </w: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פיקוח על הרשות</w:t>
            </w:r>
          </w:p>
        </w:tc>
        <w:tc>
          <w:tcPr>
            <w:tcW w:w="567" w:type="dxa"/>
          </w:tcPr>
          <w:p w:rsidR="00242615" w:rsidRPr="00242615" w:rsidRDefault="00242615" w:rsidP="00242615">
            <w:pPr>
              <w:spacing w:line="240" w:lineRule="auto"/>
              <w:jc w:val="left"/>
              <w:rPr>
                <w:rStyle w:val="Hyperlink"/>
                <w:rtl/>
              </w:rPr>
            </w:pPr>
            <w:hyperlink w:anchor="Seif3" w:tooltip="פיקוח על הרשות"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r>
              <w:rPr>
                <w:rFonts w:cs="Times New Roman"/>
                <w:sz w:val="24"/>
                <w:rtl/>
              </w:rPr>
              <w:t xml:space="preserve">סעיף 4 </w:t>
            </w: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שיתוף פעולה וסיוע</w:t>
            </w:r>
          </w:p>
        </w:tc>
        <w:tc>
          <w:tcPr>
            <w:tcW w:w="567" w:type="dxa"/>
          </w:tcPr>
          <w:p w:rsidR="00242615" w:rsidRPr="00242615" w:rsidRDefault="00242615" w:rsidP="00242615">
            <w:pPr>
              <w:spacing w:line="240" w:lineRule="auto"/>
              <w:jc w:val="left"/>
              <w:rPr>
                <w:rStyle w:val="Hyperlink"/>
                <w:rtl/>
              </w:rPr>
            </w:pPr>
            <w:hyperlink w:anchor="Seif4" w:tooltip="שיתוף פעולה וסיוע"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r>
              <w:rPr>
                <w:rFonts w:cs="Times New Roman"/>
                <w:sz w:val="24"/>
                <w:rtl/>
              </w:rPr>
              <w:t xml:space="preserve">סעיף 5 </w:t>
            </w: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כניסה לחצרים ובדיקות</w:t>
            </w:r>
          </w:p>
        </w:tc>
        <w:tc>
          <w:tcPr>
            <w:tcW w:w="567" w:type="dxa"/>
          </w:tcPr>
          <w:p w:rsidR="00242615" w:rsidRPr="00242615" w:rsidRDefault="00242615" w:rsidP="00242615">
            <w:pPr>
              <w:spacing w:line="240" w:lineRule="auto"/>
              <w:jc w:val="left"/>
              <w:rPr>
                <w:rStyle w:val="Hyperlink"/>
                <w:rtl/>
              </w:rPr>
            </w:pPr>
            <w:hyperlink w:anchor="Seif5" w:tooltip="כניסה לחצרים ובדיקות"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r>
              <w:rPr>
                <w:rFonts w:cs="Times New Roman"/>
                <w:sz w:val="24"/>
                <w:rtl/>
              </w:rPr>
              <w:t xml:space="preserve">סעיף 6 </w:t>
            </w: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דו"חות</w:t>
            </w:r>
          </w:p>
        </w:tc>
        <w:tc>
          <w:tcPr>
            <w:tcW w:w="567" w:type="dxa"/>
          </w:tcPr>
          <w:p w:rsidR="00242615" w:rsidRPr="00242615" w:rsidRDefault="00242615" w:rsidP="00242615">
            <w:pPr>
              <w:spacing w:line="240" w:lineRule="auto"/>
              <w:jc w:val="left"/>
              <w:rPr>
                <w:rStyle w:val="Hyperlink"/>
                <w:rtl/>
              </w:rPr>
            </w:pPr>
            <w:hyperlink w:anchor="Seif6" w:tooltip="דוחות"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r>
              <w:rPr>
                <w:rFonts w:cs="Times New Roman"/>
                <w:sz w:val="24"/>
                <w:rtl/>
              </w:rPr>
              <w:t xml:space="preserve">סעיף 8 </w:t>
            </w: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דיווח על אירוע מיוחד</w:t>
            </w:r>
          </w:p>
        </w:tc>
        <w:tc>
          <w:tcPr>
            <w:tcW w:w="567" w:type="dxa"/>
          </w:tcPr>
          <w:p w:rsidR="00242615" w:rsidRPr="00242615" w:rsidRDefault="00242615" w:rsidP="00242615">
            <w:pPr>
              <w:spacing w:line="240" w:lineRule="auto"/>
              <w:jc w:val="left"/>
              <w:rPr>
                <w:rStyle w:val="Hyperlink"/>
                <w:rtl/>
              </w:rPr>
            </w:pPr>
            <w:hyperlink w:anchor="Seif7" w:tooltip="דיווח על אירוע מיוחד"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פרק ג': חובת דיווח</w:t>
            </w:r>
          </w:p>
        </w:tc>
        <w:tc>
          <w:tcPr>
            <w:tcW w:w="567" w:type="dxa"/>
          </w:tcPr>
          <w:p w:rsidR="00242615" w:rsidRPr="00242615" w:rsidRDefault="00242615" w:rsidP="00242615">
            <w:pPr>
              <w:spacing w:line="240" w:lineRule="auto"/>
              <w:jc w:val="left"/>
              <w:rPr>
                <w:rStyle w:val="Hyperlink"/>
                <w:rtl/>
              </w:rPr>
            </w:pPr>
            <w:hyperlink w:anchor="med2" w:tooltip="פרק ג: חובת דיווח"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r>
              <w:rPr>
                <w:rFonts w:cs="Times New Roman"/>
                <w:sz w:val="24"/>
                <w:rtl/>
              </w:rPr>
              <w:t xml:space="preserve">סעיף 9 </w:t>
            </w: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דו"חות הרשות</w:t>
            </w:r>
          </w:p>
        </w:tc>
        <w:tc>
          <w:tcPr>
            <w:tcW w:w="567" w:type="dxa"/>
          </w:tcPr>
          <w:p w:rsidR="00242615" w:rsidRPr="00242615" w:rsidRDefault="00242615" w:rsidP="00242615">
            <w:pPr>
              <w:spacing w:line="240" w:lineRule="auto"/>
              <w:jc w:val="left"/>
              <w:rPr>
                <w:rStyle w:val="Hyperlink"/>
                <w:rtl/>
              </w:rPr>
            </w:pPr>
            <w:hyperlink w:anchor="Seif8" w:tooltip="דוחות הרשות"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r>
              <w:rPr>
                <w:rFonts w:cs="Times New Roman"/>
                <w:sz w:val="24"/>
                <w:rtl/>
              </w:rPr>
              <w:t xml:space="preserve">סעיף 10 </w:t>
            </w: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דו"חות מיוחדים</w:t>
            </w:r>
          </w:p>
        </w:tc>
        <w:tc>
          <w:tcPr>
            <w:tcW w:w="567" w:type="dxa"/>
          </w:tcPr>
          <w:p w:rsidR="00242615" w:rsidRPr="00242615" w:rsidRDefault="00242615" w:rsidP="00242615">
            <w:pPr>
              <w:spacing w:line="240" w:lineRule="auto"/>
              <w:jc w:val="left"/>
              <w:rPr>
                <w:rStyle w:val="Hyperlink"/>
                <w:rtl/>
              </w:rPr>
            </w:pPr>
            <w:hyperlink w:anchor="Seif9" w:tooltip="דוחות מיוחדים"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פרק ד': שונות</w:t>
            </w:r>
          </w:p>
        </w:tc>
        <w:tc>
          <w:tcPr>
            <w:tcW w:w="567" w:type="dxa"/>
          </w:tcPr>
          <w:p w:rsidR="00242615" w:rsidRPr="00242615" w:rsidRDefault="00242615" w:rsidP="00242615">
            <w:pPr>
              <w:spacing w:line="240" w:lineRule="auto"/>
              <w:jc w:val="left"/>
              <w:rPr>
                <w:rStyle w:val="Hyperlink"/>
                <w:rtl/>
              </w:rPr>
            </w:pPr>
            <w:hyperlink w:anchor="med3" w:tooltip="פרק ד: שונות"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r>
              <w:rPr>
                <w:rFonts w:cs="Times New Roman"/>
                <w:sz w:val="24"/>
                <w:rtl/>
              </w:rPr>
              <w:t xml:space="preserve">סעיף 11 </w:t>
            </w: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מידע חסוי</w:t>
            </w:r>
          </w:p>
        </w:tc>
        <w:tc>
          <w:tcPr>
            <w:tcW w:w="567" w:type="dxa"/>
          </w:tcPr>
          <w:p w:rsidR="00242615" w:rsidRPr="00242615" w:rsidRDefault="00242615" w:rsidP="00242615">
            <w:pPr>
              <w:spacing w:line="240" w:lineRule="auto"/>
              <w:jc w:val="left"/>
              <w:rPr>
                <w:rStyle w:val="Hyperlink"/>
                <w:rtl/>
              </w:rPr>
            </w:pPr>
            <w:hyperlink w:anchor="Seif10" w:tooltip="מידע חסוי"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r>
              <w:rPr>
                <w:rFonts w:cs="Times New Roman"/>
                <w:sz w:val="24"/>
                <w:rtl/>
              </w:rPr>
              <w:t xml:space="preserve">סעיף 12 </w:t>
            </w: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שמירת סודיות</w:t>
            </w:r>
          </w:p>
        </w:tc>
        <w:tc>
          <w:tcPr>
            <w:tcW w:w="567" w:type="dxa"/>
          </w:tcPr>
          <w:p w:rsidR="00242615" w:rsidRPr="00242615" w:rsidRDefault="00242615" w:rsidP="00242615">
            <w:pPr>
              <w:spacing w:line="240" w:lineRule="auto"/>
              <w:jc w:val="left"/>
              <w:rPr>
                <w:rStyle w:val="Hyperlink"/>
                <w:rtl/>
              </w:rPr>
            </w:pPr>
            <w:hyperlink w:anchor="Seif11" w:tooltip="שמירת סודיות"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r>
              <w:rPr>
                <w:rFonts w:cs="Times New Roman"/>
                <w:sz w:val="24"/>
                <w:rtl/>
              </w:rPr>
              <w:t xml:space="preserve">סעיף 13 </w:t>
            </w: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תחילה</w:t>
            </w:r>
          </w:p>
        </w:tc>
        <w:tc>
          <w:tcPr>
            <w:tcW w:w="567" w:type="dxa"/>
          </w:tcPr>
          <w:p w:rsidR="00242615" w:rsidRPr="00242615" w:rsidRDefault="00242615" w:rsidP="00242615">
            <w:pPr>
              <w:spacing w:line="240" w:lineRule="auto"/>
              <w:jc w:val="left"/>
              <w:rPr>
                <w:rStyle w:val="Hyperlink"/>
                <w:rtl/>
              </w:rPr>
            </w:pPr>
            <w:hyperlink w:anchor="Seif12" w:tooltip="תחילה"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תוספת</w:t>
            </w:r>
          </w:p>
        </w:tc>
        <w:tc>
          <w:tcPr>
            <w:tcW w:w="567" w:type="dxa"/>
          </w:tcPr>
          <w:p w:rsidR="00242615" w:rsidRPr="00242615" w:rsidRDefault="00242615" w:rsidP="00242615">
            <w:pPr>
              <w:spacing w:line="240" w:lineRule="auto"/>
              <w:jc w:val="left"/>
              <w:rPr>
                <w:rStyle w:val="Hyperlink"/>
                <w:rtl/>
              </w:rPr>
            </w:pPr>
            <w:hyperlink w:anchor="med4" w:tooltip="תוספת"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חלק א': דו"חות בדבר פעולות ביקורת</w:t>
            </w:r>
          </w:p>
        </w:tc>
        <w:tc>
          <w:tcPr>
            <w:tcW w:w="567" w:type="dxa"/>
          </w:tcPr>
          <w:p w:rsidR="00242615" w:rsidRPr="00242615" w:rsidRDefault="00242615" w:rsidP="00242615">
            <w:pPr>
              <w:spacing w:line="240" w:lineRule="auto"/>
              <w:jc w:val="left"/>
              <w:rPr>
                <w:rStyle w:val="Hyperlink"/>
                <w:rtl/>
              </w:rPr>
            </w:pPr>
            <w:hyperlink w:anchor="med5" w:tooltip="חלק א: דוחות בדבר פעולות ביקורת"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חלק ב': דו"חות של הרשות בדבר איכות שירותי הדואר</w:t>
            </w:r>
          </w:p>
        </w:tc>
        <w:tc>
          <w:tcPr>
            <w:tcW w:w="567" w:type="dxa"/>
          </w:tcPr>
          <w:p w:rsidR="00242615" w:rsidRPr="00242615" w:rsidRDefault="00242615" w:rsidP="00242615">
            <w:pPr>
              <w:spacing w:line="240" w:lineRule="auto"/>
              <w:jc w:val="left"/>
              <w:rPr>
                <w:rStyle w:val="Hyperlink"/>
                <w:rtl/>
              </w:rPr>
            </w:pPr>
            <w:hyperlink w:anchor="med6" w:tooltip="חלק ב: דוחות של הרשות בדבר איכות שירותי הדואר"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חלק ג': תכניות תקופתיות</w:t>
            </w:r>
          </w:p>
        </w:tc>
        <w:tc>
          <w:tcPr>
            <w:tcW w:w="567" w:type="dxa"/>
          </w:tcPr>
          <w:p w:rsidR="00242615" w:rsidRPr="00242615" w:rsidRDefault="00242615" w:rsidP="00242615">
            <w:pPr>
              <w:spacing w:line="240" w:lineRule="auto"/>
              <w:jc w:val="left"/>
              <w:rPr>
                <w:rStyle w:val="Hyperlink"/>
                <w:rtl/>
              </w:rPr>
            </w:pPr>
            <w:hyperlink w:anchor="med7" w:tooltip="חלק ג: תכניות תקופתיות"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42615" w:rsidRPr="00242615">
        <w:tblPrEx>
          <w:tblCellMar>
            <w:top w:w="0" w:type="dxa"/>
            <w:bottom w:w="0" w:type="dxa"/>
          </w:tblCellMar>
        </w:tblPrEx>
        <w:tc>
          <w:tcPr>
            <w:tcW w:w="1247" w:type="dxa"/>
          </w:tcPr>
          <w:p w:rsidR="00242615" w:rsidRPr="00242615" w:rsidRDefault="00242615" w:rsidP="00242615">
            <w:pPr>
              <w:spacing w:line="240" w:lineRule="auto"/>
              <w:jc w:val="left"/>
              <w:rPr>
                <w:rFonts w:cs="Frankruhel"/>
                <w:sz w:val="24"/>
                <w:rtl/>
              </w:rPr>
            </w:pPr>
          </w:p>
        </w:tc>
        <w:tc>
          <w:tcPr>
            <w:tcW w:w="5669" w:type="dxa"/>
          </w:tcPr>
          <w:p w:rsidR="00242615" w:rsidRPr="00242615" w:rsidRDefault="00242615" w:rsidP="00242615">
            <w:pPr>
              <w:spacing w:line="240" w:lineRule="auto"/>
              <w:jc w:val="left"/>
              <w:rPr>
                <w:rFonts w:cs="Frankruhel"/>
                <w:sz w:val="24"/>
                <w:rtl/>
              </w:rPr>
            </w:pPr>
            <w:r>
              <w:rPr>
                <w:rFonts w:cs="Times New Roman"/>
                <w:sz w:val="24"/>
                <w:rtl/>
              </w:rPr>
              <w:t>חלק ד': שונות</w:t>
            </w:r>
          </w:p>
        </w:tc>
        <w:tc>
          <w:tcPr>
            <w:tcW w:w="567" w:type="dxa"/>
          </w:tcPr>
          <w:p w:rsidR="00242615" w:rsidRPr="00242615" w:rsidRDefault="00242615" w:rsidP="00242615">
            <w:pPr>
              <w:spacing w:line="240" w:lineRule="auto"/>
              <w:jc w:val="left"/>
              <w:rPr>
                <w:rStyle w:val="Hyperlink"/>
                <w:rtl/>
              </w:rPr>
            </w:pPr>
            <w:hyperlink w:anchor="med8" w:tooltip="חלק ד: שונות" w:history="1">
              <w:r w:rsidRPr="00242615">
                <w:rPr>
                  <w:rStyle w:val="Hyperlink"/>
                </w:rPr>
                <w:t>Go</w:t>
              </w:r>
            </w:hyperlink>
          </w:p>
        </w:tc>
        <w:tc>
          <w:tcPr>
            <w:tcW w:w="850" w:type="dxa"/>
          </w:tcPr>
          <w:p w:rsidR="00242615" w:rsidRPr="00242615" w:rsidRDefault="00242615" w:rsidP="002426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F44C94" w:rsidRDefault="00F44C94">
      <w:pPr>
        <w:pStyle w:val="big-header"/>
        <w:ind w:left="0" w:right="1134"/>
        <w:rPr>
          <w:rtl/>
        </w:rPr>
      </w:pPr>
    </w:p>
    <w:p w:rsidR="00F44C94" w:rsidRDefault="00F44C94" w:rsidP="005473FA">
      <w:pPr>
        <w:pStyle w:val="big-header"/>
        <w:ind w:left="0" w:right="1134"/>
        <w:rPr>
          <w:rStyle w:val="default"/>
          <w:rFonts w:cs="FrankRuehl" w:hint="cs"/>
          <w:rtl/>
        </w:rPr>
      </w:pPr>
      <w:r>
        <w:rPr>
          <w:rtl/>
        </w:rPr>
        <w:br w:type="page"/>
      </w:r>
      <w:r>
        <w:rPr>
          <w:rtl/>
        </w:rPr>
        <w:lastRenderedPageBreak/>
        <w:t>ת</w:t>
      </w:r>
      <w:r>
        <w:rPr>
          <w:rFonts w:hint="cs"/>
          <w:rtl/>
        </w:rPr>
        <w:t>קנות רשות הדואר (הפיקוח על פעולותיה של הרשות), תשנ"</w:t>
      </w:r>
      <w:r w:rsidR="00AF5A7E">
        <w:rPr>
          <w:rtl/>
        </w:rPr>
        <w:t>ה</w:t>
      </w:r>
      <w:r w:rsidR="00AF5A7E">
        <w:rPr>
          <w:rFonts w:hint="cs"/>
          <w:rtl/>
        </w:rPr>
        <w:t>-</w:t>
      </w:r>
      <w:r>
        <w:rPr>
          <w:rFonts w:hint="cs"/>
          <w:rtl/>
        </w:rPr>
        <w:t>1995</w:t>
      </w:r>
      <w:r w:rsidR="00AF5A7E">
        <w:rPr>
          <w:rStyle w:val="a6"/>
          <w:rtl/>
        </w:rPr>
        <w:footnoteReference w:customMarkFollows="1" w:id="1"/>
        <w:t>*</w:t>
      </w:r>
    </w:p>
    <w:p w:rsidR="00F44C94" w:rsidRDefault="00F44C94" w:rsidP="00AF5A7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126(א) לחוק רשות הדואר, תשמ"ו</w:t>
      </w:r>
      <w:r w:rsidR="00AF5A7E">
        <w:rPr>
          <w:rStyle w:val="default"/>
          <w:rFonts w:cs="FrankRuehl" w:hint="cs"/>
          <w:rtl/>
        </w:rPr>
        <w:t>-</w:t>
      </w:r>
      <w:r>
        <w:rPr>
          <w:rStyle w:val="default"/>
          <w:rFonts w:cs="FrankRuehl" w:hint="cs"/>
          <w:rtl/>
        </w:rPr>
        <w:t xml:space="preserve">1986 (להלן </w:t>
      </w:r>
      <w:r w:rsidR="00AF5A7E">
        <w:rPr>
          <w:rStyle w:val="default"/>
          <w:rFonts w:cs="FrankRuehl" w:hint="cs"/>
          <w:rtl/>
        </w:rPr>
        <w:t>-</w:t>
      </w:r>
      <w:r>
        <w:rPr>
          <w:rStyle w:val="default"/>
          <w:rFonts w:cs="FrankRuehl" w:hint="cs"/>
          <w:rtl/>
        </w:rPr>
        <w:t xml:space="preserve"> החוק), ובאישור ועדת הכלכלה של הכנסת, אני מתקינה תקנות אלה:</w:t>
      </w:r>
    </w:p>
    <w:p w:rsidR="00F44C94" w:rsidRDefault="00F44C94">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כללי</w:t>
      </w:r>
    </w:p>
    <w:p w:rsidR="00F44C94" w:rsidRDefault="00F44C94" w:rsidP="00AF5A7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4.65pt;z-index:251651584" o:allowincell="f" filled="f" stroked="f" strokecolor="lime" strokeweight=".25pt">
            <v:textbox inset="0,0,0,0">
              <w:txbxContent>
                <w:p w:rsidR="00F44C94" w:rsidRDefault="00F44C9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בתקנות אלה </w:t>
      </w:r>
      <w:r w:rsidR="00AF5A7E">
        <w:rPr>
          <w:rStyle w:val="default"/>
          <w:rFonts w:cs="FrankRuehl"/>
          <w:rtl/>
        </w:rPr>
        <w:t>–</w:t>
      </w:r>
    </w:p>
    <w:p w:rsidR="00F44C94" w:rsidRDefault="00F44C94" w:rsidP="00AF5A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המפקח" </w:t>
      </w:r>
      <w:r w:rsidR="00AF5A7E">
        <w:rPr>
          <w:rStyle w:val="default"/>
          <w:rFonts w:cs="FrankRuehl" w:hint="cs"/>
          <w:rtl/>
        </w:rPr>
        <w:t>-</w:t>
      </w:r>
      <w:r>
        <w:rPr>
          <w:rStyle w:val="default"/>
          <w:rFonts w:cs="FrankRuehl" w:hint="cs"/>
          <w:rtl/>
        </w:rPr>
        <w:t xml:space="preserve"> עובד של משרד התקשורת שהשר הסמיכו לענין תקנות אלה, בין הסמכה כללית</w:t>
      </w:r>
      <w:r>
        <w:rPr>
          <w:rStyle w:val="default"/>
          <w:rFonts w:cs="FrankRuehl"/>
          <w:rtl/>
        </w:rPr>
        <w:t xml:space="preserve"> </w:t>
      </w:r>
      <w:r>
        <w:rPr>
          <w:rStyle w:val="default"/>
          <w:rFonts w:cs="FrankRuehl" w:hint="cs"/>
          <w:rtl/>
        </w:rPr>
        <w:t>ובין מיוחדת</w:t>
      </w:r>
      <w:r w:rsidR="00D72C9D">
        <w:rPr>
          <w:rStyle w:val="a6"/>
          <w:rtl/>
        </w:rPr>
        <w:footnoteReference w:id="2"/>
      </w:r>
      <w:r>
        <w:rPr>
          <w:rStyle w:val="default"/>
          <w:rFonts w:cs="FrankRuehl" w:hint="cs"/>
          <w:rtl/>
        </w:rPr>
        <w:t>;</w:t>
      </w:r>
    </w:p>
    <w:p w:rsidR="00F44C94" w:rsidRDefault="00F44C94" w:rsidP="00AF5A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העתקה" </w:t>
      </w:r>
      <w:r w:rsidR="00AF5A7E">
        <w:rPr>
          <w:rStyle w:val="default"/>
          <w:rFonts w:cs="FrankRuehl" w:hint="cs"/>
          <w:rtl/>
        </w:rPr>
        <w:t>-</w:t>
      </w:r>
      <w:r>
        <w:rPr>
          <w:rStyle w:val="default"/>
          <w:rFonts w:cs="FrankRuehl" w:hint="cs"/>
          <w:rtl/>
        </w:rPr>
        <w:t xml:space="preserve"> לרבות הדפסה מתוך מאגר מידע ממוחשב;</w:t>
      </w:r>
    </w:p>
    <w:p w:rsidR="00F44C94" w:rsidRDefault="00F44C94" w:rsidP="00AF5A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מסמך" </w:t>
      </w:r>
      <w:r w:rsidR="00AF5A7E">
        <w:rPr>
          <w:rStyle w:val="default"/>
          <w:rFonts w:cs="FrankRuehl" w:hint="cs"/>
          <w:rtl/>
        </w:rPr>
        <w:t>-</w:t>
      </w:r>
      <w:r>
        <w:rPr>
          <w:rStyle w:val="default"/>
          <w:rFonts w:cs="FrankRuehl" w:hint="cs"/>
          <w:rtl/>
        </w:rPr>
        <w:t xml:space="preserve"> לרבות רשימה, פנקס, מאגר מידע ממוחשב או הקלטה;</w:t>
      </w:r>
    </w:p>
    <w:p w:rsidR="00F44C94" w:rsidRDefault="00F44C94" w:rsidP="00AF5A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רבעון" </w:t>
      </w:r>
      <w:r w:rsidR="00AF5A7E">
        <w:rPr>
          <w:rStyle w:val="default"/>
          <w:rFonts w:cs="FrankRuehl" w:hint="cs"/>
          <w:rtl/>
        </w:rPr>
        <w:t>-</w:t>
      </w:r>
      <w:r>
        <w:rPr>
          <w:rStyle w:val="default"/>
          <w:rFonts w:cs="FrankRuehl" w:hint="cs"/>
          <w:rtl/>
        </w:rPr>
        <w:t xml:space="preserve"> תקופה של שלושה חודשים שתחילתה באחד בינואר, באחד באפריל, באחד ביולי או באחד באוקטובר, לפי הענין;</w:t>
      </w:r>
    </w:p>
    <w:p w:rsidR="00F44C94" w:rsidRDefault="00F44C94" w:rsidP="00AF5A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שירותי דואר" </w:t>
      </w:r>
      <w:r w:rsidR="00AF5A7E">
        <w:rPr>
          <w:rStyle w:val="default"/>
          <w:rFonts w:cs="FrankRuehl" w:hint="cs"/>
          <w:rtl/>
        </w:rPr>
        <w:t>-</w:t>
      </w:r>
      <w:r>
        <w:rPr>
          <w:rStyle w:val="default"/>
          <w:rFonts w:cs="FrankRuehl" w:hint="cs"/>
          <w:rtl/>
        </w:rPr>
        <w:t xml:space="preserve"> השירותים להעברת </w:t>
      </w:r>
      <w:r>
        <w:rPr>
          <w:rStyle w:val="default"/>
          <w:rFonts w:cs="FrankRuehl"/>
          <w:rtl/>
        </w:rPr>
        <w:t>ד</w:t>
      </w:r>
      <w:r>
        <w:rPr>
          <w:rStyle w:val="default"/>
          <w:rFonts w:cs="FrankRuehl" w:hint="cs"/>
          <w:rtl/>
        </w:rPr>
        <w:t>ברי דואר בישראל, מישראל לארצות חוץ ומארצות חוץ לישראל וכל שירות שנותנת הרשות על פי החוק, ולמעט שירותים לבנק הדואר;</w:t>
      </w:r>
    </w:p>
    <w:p w:rsidR="00F44C94" w:rsidRDefault="00F44C94" w:rsidP="00AF5A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שנה" </w:t>
      </w:r>
      <w:r w:rsidR="00AF5A7E">
        <w:rPr>
          <w:rStyle w:val="default"/>
          <w:rFonts w:cs="FrankRuehl" w:hint="cs"/>
          <w:rtl/>
        </w:rPr>
        <w:t>-</w:t>
      </w:r>
      <w:r>
        <w:rPr>
          <w:rStyle w:val="default"/>
          <w:rFonts w:cs="FrankRuehl" w:hint="cs"/>
          <w:rtl/>
        </w:rPr>
        <w:t xml:space="preserve"> לרבות חלק ממנה.</w:t>
      </w:r>
    </w:p>
    <w:p w:rsidR="00F44C94" w:rsidRDefault="00F44C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מונחים אחרים בתקנות אלה, ככל שלא הוגדרו בחוק, תהא להם המשמעות שיש להם בתקנות שהותקנו לפיו.</w:t>
      </w:r>
    </w:p>
    <w:p w:rsidR="00F44C94" w:rsidRDefault="00F44C94">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הפיקוח על ה</w:t>
      </w:r>
      <w:r>
        <w:rPr>
          <w:noProof/>
          <w:sz w:val="20"/>
          <w:rtl/>
        </w:rPr>
        <w:t>ר</w:t>
      </w:r>
      <w:r>
        <w:rPr>
          <w:rFonts w:hint="cs"/>
          <w:noProof/>
          <w:sz w:val="20"/>
          <w:rtl/>
        </w:rPr>
        <w:t>שות</w:t>
      </w:r>
    </w:p>
    <w:p w:rsidR="00F44C94" w:rsidRDefault="00F44C94">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35pt;margin-top:8.05pt;width:75.05pt;height:17.7pt;z-index:251652608" o:allowincell="f" filled="f" stroked="f" strokecolor="lime" strokeweight=".25pt">
            <v:textbox inset="0,0,0,0">
              <w:txbxContent>
                <w:p w:rsidR="00F44C94" w:rsidRDefault="00F44C94" w:rsidP="00AF5A7E">
                  <w:pPr>
                    <w:spacing w:line="160" w:lineRule="exact"/>
                    <w:jc w:val="left"/>
                    <w:rPr>
                      <w:rFonts w:cs="Miriam"/>
                      <w:noProof/>
                      <w:szCs w:val="18"/>
                      <w:rtl/>
                    </w:rPr>
                  </w:pPr>
                  <w:r>
                    <w:rPr>
                      <w:rFonts w:cs="Miriam"/>
                      <w:szCs w:val="18"/>
                      <w:rtl/>
                    </w:rPr>
                    <w:t>מ</w:t>
                  </w:r>
                  <w:r>
                    <w:rPr>
                      <w:rFonts w:cs="Miriam" w:hint="cs"/>
                      <w:szCs w:val="18"/>
                      <w:rtl/>
                    </w:rPr>
                    <w:t>סירת ידיעות</w:t>
                  </w:r>
                  <w:r w:rsidR="00AF5A7E">
                    <w:rPr>
                      <w:rFonts w:cs="Miriam" w:hint="cs"/>
                      <w:szCs w:val="18"/>
                      <w:rtl/>
                    </w:rPr>
                    <w:t xml:space="preserve"> </w:t>
                  </w:r>
                  <w:r>
                    <w:rPr>
                      <w:rFonts w:cs="Miriam"/>
                      <w:szCs w:val="18"/>
                      <w:rtl/>
                    </w:rPr>
                    <w:t>ו</w:t>
                  </w:r>
                  <w:r>
                    <w:rPr>
                      <w:rFonts w:cs="Miriam" w:hint="cs"/>
                      <w:szCs w:val="18"/>
                      <w:rtl/>
                    </w:rPr>
                    <w:t>מסמכים לשר</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שר רשאי לדרוש מהרשות למסור לו כל ידיעה או מסמך אודות פעולותיה של הרשות, לרבות פעילותה של המועצה, במתכונת ובאופן שיורה עליהם השר.</w:t>
      </w:r>
    </w:p>
    <w:p w:rsidR="00F44C94" w:rsidRDefault="00F44C94">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6pt;z-index:251653632" o:allowincell="f" filled="f" stroked="f" strokecolor="lime" strokeweight=".25pt">
            <v:textbox inset="0,0,0,0">
              <w:txbxContent>
                <w:p w:rsidR="00F44C94" w:rsidRDefault="00F44C94" w:rsidP="00AF5A7E">
                  <w:pPr>
                    <w:spacing w:line="160" w:lineRule="exact"/>
                    <w:jc w:val="left"/>
                    <w:rPr>
                      <w:rFonts w:cs="Miriam"/>
                      <w:noProof/>
                      <w:szCs w:val="18"/>
                      <w:rtl/>
                    </w:rPr>
                  </w:pPr>
                  <w:r>
                    <w:rPr>
                      <w:rFonts w:cs="Miriam"/>
                      <w:szCs w:val="18"/>
                      <w:rtl/>
                    </w:rPr>
                    <w:t>פ</w:t>
                  </w:r>
                  <w:r>
                    <w:rPr>
                      <w:rFonts w:cs="Miriam" w:hint="cs"/>
                      <w:szCs w:val="18"/>
                      <w:rtl/>
                    </w:rPr>
                    <w:t>יקוח ע</w:t>
                  </w:r>
                  <w:r>
                    <w:rPr>
                      <w:rFonts w:cs="Miriam"/>
                      <w:szCs w:val="18"/>
                      <w:rtl/>
                    </w:rPr>
                    <w:t>ל</w:t>
                  </w:r>
                  <w:r w:rsidR="00AF5A7E">
                    <w:rPr>
                      <w:rFonts w:cs="Miriam" w:hint="cs"/>
                      <w:szCs w:val="18"/>
                      <w:rtl/>
                    </w:rPr>
                    <w:t xml:space="preserve"> </w:t>
                  </w:r>
                  <w:r>
                    <w:rPr>
                      <w:rFonts w:cs="Miriam"/>
                      <w:szCs w:val="18"/>
                      <w:rtl/>
                    </w:rPr>
                    <w:t>ה</w:t>
                  </w:r>
                  <w:r>
                    <w:rPr>
                      <w:rFonts w:cs="Miriam" w:hint="cs"/>
                      <w:szCs w:val="18"/>
                      <w:rtl/>
                    </w:rPr>
                    <w:t>רשות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המפקח יפקח על פעולותיה של הרשות הנוגעות לשירותי הדואר שהיא נותנת </w:t>
      </w:r>
      <w:r>
        <w:rPr>
          <w:rStyle w:val="default"/>
          <w:rFonts w:cs="FrankRuehl"/>
          <w:rtl/>
        </w:rPr>
        <w:t>כ</w:t>
      </w:r>
      <w:r>
        <w:rPr>
          <w:rStyle w:val="default"/>
          <w:rFonts w:cs="FrankRuehl" w:hint="cs"/>
          <w:rtl/>
        </w:rPr>
        <w:t>מפורט בתקנת משנה (ב); לשם ביצוע פיקוח כאמור רשאי המפקח לעשות כל פעולה הדרושה לפי הוראותיהן של תקנות אלה, ובלי למעט מכלליות האמור, רשאי הוא לדרוש להציג לו כל מסמך לפי תקנות אלה ולצלם או להעתיק בכל צורה אחרת כל מסמך או חומר אחר שיוצג לו.</w:t>
      </w:r>
    </w:p>
    <w:p w:rsidR="00F44C94" w:rsidRDefault="00F44C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נושאי הפיקוח של המפקח על הרשות:</w:t>
      </w:r>
    </w:p>
    <w:p w:rsidR="00F44C94" w:rsidRDefault="00F44C9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קיום הוראות החוק, התקנות שהותקנו לפיו וכן אמנות והתחייבויות בין-לאומיות בעניני הדואר שהמדינה היא צד להן;</w:t>
      </w:r>
    </w:p>
    <w:p w:rsidR="00F44C94" w:rsidRDefault="00F44C9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מיג</w:t>
      </w:r>
      <w:r>
        <w:rPr>
          <w:rStyle w:val="default"/>
          <w:rFonts w:cs="FrankRuehl"/>
          <w:rtl/>
        </w:rPr>
        <w:t>ו</w:t>
      </w:r>
      <w:r>
        <w:rPr>
          <w:rStyle w:val="default"/>
          <w:rFonts w:cs="FrankRuehl" w:hint="cs"/>
          <w:rtl/>
        </w:rPr>
        <w:t>ון שירותי הדואר שהרשות נותנת, לרבות שירותים נוספים שהיא נותנת לפי סעיף 24 לחוק;</w:t>
      </w:r>
    </w:p>
    <w:p w:rsidR="00F44C94" w:rsidRDefault="00F44C9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דרכי נתינתם של שירותי הדואר ואיכותם;</w:t>
      </w:r>
    </w:p>
    <w:p w:rsidR="00F44C94" w:rsidRDefault="00F44C9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רמת התחזוקה של מיתקני הרשות המשמשים למתן שירותי דואר לציבור.</w:t>
      </w:r>
    </w:p>
    <w:p w:rsidR="00F44C94" w:rsidRDefault="00F44C94">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6pt;z-index:251654656" o:allowincell="f" filled="f" stroked="f" strokecolor="lime" strokeweight=".25pt">
            <v:textbox inset="0,0,0,0">
              <w:txbxContent>
                <w:p w:rsidR="00F44C94" w:rsidRDefault="00F44C94" w:rsidP="00AF5A7E">
                  <w:pPr>
                    <w:spacing w:line="160" w:lineRule="exact"/>
                    <w:jc w:val="left"/>
                    <w:rPr>
                      <w:rFonts w:cs="Miriam"/>
                      <w:noProof/>
                      <w:szCs w:val="18"/>
                      <w:rtl/>
                    </w:rPr>
                  </w:pPr>
                  <w:r>
                    <w:rPr>
                      <w:rFonts w:cs="Miriam"/>
                      <w:szCs w:val="18"/>
                      <w:rtl/>
                    </w:rPr>
                    <w:t>ש</w:t>
                  </w:r>
                  <w:r>
                    <w:rPr>
                      <w:rFonts w:cs="Miriam" w:hint="cs"/>
                      <w:szCs w:val="18"/>
                      <w:rtl/>
                    </w:rPr>
                    <w:t>יתוף פעולה</w:t>
                  </w:r>
                  <w:r w:rsidR="00AF5A7E">
                    <w:rPr>
                      <w:rFonts w:cs="Miriam" w:hint="cs"/>
                      <w:szCs w:val="18"/>
                      <w:rtl/>
                    </w:rPr>
                    <w:t xml:space="preserve"> </w:t>
                  </w:r>
                  <w:r>
                    <w:rPr>
                      <w:rFonts w:cs="Miriam"/>
                      <w:szCs w:val="18"/>
                      <w:rtl/>
                    </w:rPr>
                    <w:t>ו</w:t>
                  </w:r>
                  <w:r>
                    <w:rPr>
                      <w:rFonts w:cs="Miriam" w:hint="cs"/>
                      <w:szCs w:val="18"/>
                      <w:rtl/>
                    </w:rPr>
                    <w:t>סיוע</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 xml:space="preserve">רשות תשתף פעולה עם המפקח ותושיט לו את הסיוע </w:t>
      </w:r>
      <w:r>
        <w:rPr>
          <w:rStyle w:val="default"/>
          <w:rFonts w:cs="FrankRuehl"/>
          <w:rtl/>
        </w:rPr>
        <w:t>ה</w:t>
      </w:r>
      <w:r>
        <w:rPr>
          <w:rStyle w:val="default"/>
          <w:rFonts w:cs="FrankRuehl" w:hint="cs"/>
          <w:rtl/>
        </w:rPr>
        <w:t>נדרש בביצוע הפיקוח.</w:t>
      </w:r>
    </w:p>
    <w:p w:rsidR="00F44C94" w:rsidRDefault="00F44C94">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24pt;z-index:251655680" o:allowincell="f" filled="f" stroked="f" strokecolor="lime" strokeweight=".25pt">
            <v:textbox inset="0,0,0,0">
              <w:txbxContent>
                <w:p w:rsidR="00F44C94" w:rsidRDefault="00F44C94" w:rsidP="00AF5A7E">
                  <w:pPr>
                    <w:spacing w:line="160" w:lineRule="exact"/>
                    <w:jc w:val="left"/>
                    <w:rPr>
                      <w:rFonts w:cs="Miriam"/>
                      <w:noProof/>
                      <w:szCs w:val="18"/>
                      <w:rtl/>
                    </w:rPr>
                  </w:pPr>
                  <w:r>
                    <w:rPr>
                      <w:rFonts w:cs="Miriam"/>
                      <w:szCs w:val="18"/>
                      <w:rtl/>
                    </w:rPr>
                    <w:t>כ</w:t>
                  </w:r>
                  <w:r>
                    <w:rPr>
                      <w:rFonts w:cs="Miriam" w:hint="cs"/>
                      <w:szCs w:val="18"/>
                      <w:rtl/>
                    </w:rPr>
                    <w:t>ניסה לחצרים</w:t>
                  </w:r>
                  <w:r w:rsidR="00AF5A7E">
                    <w:rPr>
                      <w:rFonts w:cs="Miriam" w:hint="cs"/>
                      <w:szCs w:val="18"/>
                      <w:rtl/>
                    </w:rPr>
                    <w:t xml:space="preserve"> </w:t>
                  </w:r>
                  <w:r>
                    <w:rPr>
                      <w:rFonts w:cs="Miriam"/>
                      <w:szCs w:val="18"/>
                      <w:rtl/>
                    </w:rPr>
                    <w:t>ו</w:t>
                  </w:r>
                  <w:r>
                    <w:rPr>
                      <w:rFonts w:cs="Miriam" w:hint="cs"/>
                      <w:szCs w:val="18"/>
                      <w:rtl/>
                    </w:rPr>
                    <w:t>בדיקות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לשם ביצוע הפיקוח לפי תקנות אלה, רשאי המפקח להיכנס, בכל עת סבירה, לחצרים של הרשות שבהם ניתנים שירותי הדואר, לצורך בדיקת דרכי נתינתם וטיבם, ולצורך עיון במסמכים הנוגעים למתן השירותים והעתקתם.</w:t>
      </w:r>
    </w:p>
    <w:p w:rsidR="00F44C94" w:rsidRDefault="00F44C94" w:rsidP="00AF5A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תקנ</w:t>
      </w:r>
      <w:r>
        <w:rPr>
          <w:rStyle w:val="default"/>
          <w:rFonts w:cs="FrankRuehl"/>
          <w:rtl/>
        </w:rPr>
        <w:t>ת</w:t>
      </w:r>
      <w:r>
        <w:rPr>
          <w:rStyle w:val="default"/>
          <w:rFonts w:cs="FrankRuehl" w:hint="cs"/>
          <w:rtl/>
        </w:rPr>
        <w:t xml:space="preserve"> משנה (א), "חצרים של הרשות" </w:t>
      </w:r>
      <w:r w:rsidR="00AF5A7E">
        <w:rPr>
          <w:rStyle w:val="default"/>
          <w:rFonts w:cs="FrankRuehl" w:hint="cs"/>
          <w:rtl/>
        </w:rPr>
        <w:t>-</w:t>
      </w:r>
      <w:r>
        <w:rPr>
          <w:rStyle w:val="default"/>
          <w:rFonts w:cs="FrankRuehl" w:hint="cs"/>
          <w:rtl/>
        </w:rPr>
        <w:t xml:space="preserve"> לרבות חצרים של סוכנות דואר.</w:t>
      </w:r>
    </w:p>
    <w:p w:rsidR="00F44C94" w:rsidRDefault="00F44C94" w:rsidP="00AF5A7E">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6pt;z-index:251656704" o:allowincell="f" filled="f" stroked="f" strokecolor="lime" strokeweight=".25pt">
            <v:textbox inset="0,0,0,0">
              <w:txbxContent>
                <w:p w:rsidR="00F44C94" w:rsidRDefault="00F44C94">
                  <w:pPr>
                    <w:spacing w:line="160" w:lineRule="exact"/>
                    <w:jc w:val="left"/>
                    <w:rPr>
                      <w:rFonts w:cs="Miriam"/>
                      <w:noProof/>
                      <w:szCs w:val="18"/>
                      <w:rtl/>
                    </w:rPr>
                  </w:pPr>
                  <w:r>
                    <w:rPr>
                      <w:rFonts w:cs="Miriam"/>
                      <w:szCs w:val="18"/>
                      <w:rtl/>
                    </w:rPr>
                    <w:t>דו</w:t>
                  </w:r>
                  <w:r>
                    <w:rPr>
                      <w:rFonts w:cs="Miriam" w:hint="cs"/>
                      <w:szCs w:val="18"/>
                      <w:rtl/>
                    </w:rPr>
                    <w:t>"חות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תמציא למפקח דינים וחשבונות ומסמכים אחרים</w:t>
      </w:r>
      <w:r>
        <w:rPr>
          <w:rStyle w:val="default"/>
          <w:rFonts w:cs="FrankRuehl"/>
          <w:rtl/>
        </w:rPr>
        <w:t xml:space="preserve"> </w:t>
      </w:r>
      <w:r>
        <w:rPr>
          <w:rStyle w:val="default"/>
          <w:rFonts w:cs="FrankRuehl" w:hint="cs"/>
          <w:rtl/>
        </w:rPr>
        <w:t>במועדים הקבועים בתקנות אלה, בנושאים המפורטים בהן.</w:t>
      </w:r>
    </w:p>
    <w:p w:rsidR="00F44C94" w:rsidRDefault="00F44C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דו"ח ייערך בצורה נוחה לקריאה, ישא תאריך וייחתם ביד הרשות או ביד מי שהיא הסמי</w:t>
      </w:r>
      <w:r>
        <w:rPr>
          <w:rStyle w:val="default"/>
          <w:rFonts w:cs="FrankRuehl"/>
          <w:rtl/>
        </w:rPr>
        <w:t>כ</w:t>
      </w:r>
      <w:r>
        <w:rPr>
          <w:rStyle w:val="default"/>
          <w:rFonts w:cs="FrankRuehl" w:hint="cs"/>
          <w:rtl/>
        </w:rPr>
        <w:t>ה במיוחד לכך.</w:t>
      </w:r>
    </w:p>
    <w:p w:rsidR="00F44C94" w:rsidRDefault="00F44C94">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המפקח רשאי לדרוש מהרשות לערוך מחדש דו"ח שהוגש לו או להשלימו, אם מצא כי הדו"ח אינו ערוך לפי תקנות אלה או כי חסרים בו פרטים, אשר לדעת המפקח הרשות היתה חייבת לכלול אותם בדו"ח.</w:t>
      </w:r>
    </w:p>
    <w:p w:rsidR="00F44C94" w:rsidRDefault="00F44C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המפקח רשאי, באישור השר, אם נסיבות הענין מצדיקות זאת, לפטור</w:t>
      </w:r>
      <w:r>
        <w:rPr>
          <w:rStyle w:val="default"/>
          <w:rFonts w:cs="FrankRuehl"/>
          <w:rtl/>
        </w:rPr>
        <w:t xml:space="preserve"> </w:t>
      </w:r>
      <w:r>
        <w:rPr>
          <w:rStyle w:val="default"/>
          <w:rFonts w:cs="FrankRuehl" w:hint="cs"/>
          <w:rtl/>
        </w:rPr>
        <w:t>את הרשות מחובת הגשתו של דו"ח מן הדו"חות המפורטים בתקנות אלה, למעט הדו"ח השנתי לפי סעיף 41 לחוק.</w:t>
      </w:r>
    </w:p>
    <w:p w:rsidR="00F44C94" w:rsidRDefault="00F44C94">
      <w:pPr>
        <w:pStyle w:val="P00"/>
        <w:spacing w:before="72"/>
        <w:ind w:left="0" w:right="1134"/>
        <w:rPr>
          <w:rStyle w:val="default"/>
          <w:rFonts w:cs="FrankRuehl"/>
          <w:rtl/>
        </w:rPr>
      </w:pPr>
      <w:r>
        <w:rPr>
          <w:lang w:val="he-IL"/>
        </w:rPr>
        <w:pict>
          <v:rect id="_x0000_s1032" style="position:absolute;left:0;text-align:left;margin-left:464.5pt;margin-top:8.05pt;width:75.05pt;height:12.5pt;z-index:251657728" o:allowincell="f" filled="f" stroked="f" strokecolor="lime" strokeweight=".25pt">
            <v:textbox inset="0,0,0,0">
              <w:txbxContent>
                <w:p w:rsidR="00F44C94" w:rsidRDefault="00F44C94" w:rsidP="00AF5A7E">
                  <w:pPr>
                    <w:spacing w:line="160" w:lineRule="exact"/>
                    <w:jc w:val="left"/>
                    <w:rPr>
                      <w:rFonts w:cs="Miriam"/>
                      <w:noProof/>
                      <w:szCs w:val="18"/>
                      <w:rtl/>
                    </w:rPr>
                  </w:pPr>
                  <w:r>
                    <w:rPr>
                      <w:rFonts w:cs="Miriam"/>
                      <w:szCs w:val="18"/>
                      <w:rtl/>
                    </w:rPr>
                    <w:t>ת</w:t>
                  </w:r>
                  <w:r>
                    <w:rPr>
                      <w:rFonts w:cs="Miriam" w:hint="cs"/>
                      <w:szCs w:val="18"/>
                      <w:rtl/>
                    </w:rPr>
                    <w:t>יקון ליקויים</w:t>
                  </w:r>
                  <w:r w:rsidR="00AF5A7E">
                    <w:rPr>
                      <w:rFonts w:cs="Miriam" w:hint="cs"/>
                      <w:szCs w:val="18"/>
                      <w:rtl/>
                    </w:rPr>
                    <w:t xml:space="preserve"> </w:t>
                  </w:r>
                  <w:r>
                    <w:rPr>
                      <w:rFonts w:cs="Miriam"/>
                      <w:szCs w:val="18"/>
                      <w:rtl/>
                    </w:rPr>
                    <w:t>ו</w:t>
                  </w:r>
                  <w:r>
                    <w:rPr>
                      <w:rFonts w:cs="Miriam" w:hint="cs"/>
                      <w:szCs w:val="18"/>
                      <w:rtl/>
                    </w:rPr>
                    <w:t>פגמים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המפקח יודיע בכתב לרשות על ליקויים או פגמים שמצא בפעולותיה על סמך הדו"חות שמסרה לו או על סמך בדיקות שערך.</w:t>
      </w:r>
    </w:p>
    <w:p w:rsidR="00F44C94" w:rsidRDefault="00F44C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קיבלה הרשות הודעה כאמור בתקנת משנה (א), תודיע למפקח בכתב, תוך 30 ימים מיום קבלת ההודעה, את תגובתה לאמור בהודעה, ואם עשתה לתיקון הליקויים והפגמים כאמור, תפרט בתגובתה את הפעולה</w:t>
      </w:r>
      <w:r>
        <w:rPr>
          <w:rtl/>
        </w:rPr>
        <w:t> </w:t>
      </w:r>
      <w:r>
        <w:rPr>
          <w:rStyle w:val="default"/>
          <w:rFonts w:cs="FrankRuehl"/>
          <w:rtl/>
        </w:rPr>
        <w:t xml:space="preserve"> </w:t>
      </w:r>
      <w:r>
        <w:rPr>
          <w:rStyle w:val="default"/>
          <w:rFonts w:cs="FrankRuehl" w:hint="cs"/>
          <w:rtl/>
        </w:rPr>
        <w:t>שנקטה.</w:t>
      </w:r>
    </w:p>
    <w:p w:rsidR="00F44C94" w:rsidRDefault="00F44C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היה המפקח סבור כי בליקויים או בפגמים שעליהם הודיע כאמור יש </w:t>
      </w:r>
      <w:r>
        <w:rPr>
          <w:rStyle w:val="default"/>
          <w:rFonts w:cs="FrankRuehl"/>
          <w:rtl/>
        </w:rPr>
        <w:t>מ</w:t>
      </w:r>
      <w:r>
        <w:rPr>
          <w:rStyle w:val="default"/>
          <w:rFonts w:cs="FrankRuehl" w:hint="cs"/>
          <w:rtl/>
        </w:rPr>
        <w:t>שום הפרה של הוראה שבדין, בין במעשה ובין במחדל, יביא את הענין לפני השר; בהביאו את הענין לשר רשאי המפקח להמליץ על הפעולות הנדרשות לתיקון הליקויים והשר רשאי לדרוש מן הרשות ביצוע המלצות המפקח, או חלק מהן, תוך פרק זמן שהשר יקבע.</w:t>
      </w:r>
    </w:p>
    <w:p w:rsidR="00F44C94" w:rsidRDefault="00F44C94" w:rsidP="00AF5A7E">
      <w:pPr>
        <w:pStyle w:val="P00"/>
        <w:spacing w:before="72"/>
        <w:ind w:left="0" w:right="1134"/>
        <w:rPr>
          <w:rStyle w:val="default"/>
          <w:rFonts w:cs="FrankRuehl"/>
          <w:rtl/>
        </w:rPr>
      </w:pPr>
      <w:bookmarkStart w:id="8" w:name="Seif7"/>
      <w:bookmarkEnd w:id="8"/>
      <w:r>
        <w:rPr>
          <w:lang w:val="he-IL"/>
        </w:rPr>
        <w:pict>
          <v:rect id="_x0000_s1033" style="position:absolute;left:0;text-align:left;margin-left:464.5pt;margin-top:8.05pt;width:75.05pt;height:24pt;z-index:251658752" o:allowincell="f" filled="f" stroked="f" strokecolor="lime" strokeweight=".25pt">
            <v:textbox inset="0,0,0,0">
              <w:txbxContent>
                <w:p w:rsidR="00F44C94" w:rsidRDefault="00F44C94" w:rsidP="00AF5A7E">
                  <w:pPr>
                    <w:spacing w:line="160" w:lineRule="exact"/>
                    <w:jc w:val="left"/>
                    <w:rPr>
                      <w:rFonts w:cs="Miriam"/>
                      <w:noProof/>
                      <w:szCs w:val="18"/>
                      <w:rtl/>
                    </w:rPr>
                  </w:pPr>
                  <w:r>
                    <w:rPr>
                      <w:rFonts w:cs="Miriam"/>
                      <w:szCs w:val="18"/>
                      <w:rtl/>
                    </w:rPr>
                    <w:t>ד</w:t>
                  </w:r>
                  <w:r>
                    <w:rPr>
                      <w:rFonts w:cs="Miriam" w:hint="cs"/>
                      <w:szCs w:val="18"/>
                      <w:rtl/>
                    </w:rPr>
                    <w:t>י</w:t>
                  </w:r>
                  <w:r>
                    <w:rPr>
                      <w:rFonts w:cs="Miriam"/>
                      <w:szCs w:val="18"/>
                      <w:rtl/>
                    </w:rPr>
                    <w:t>ו</w:t>
                  </w:r>
                  <w:r>
                    <w:rPr>
                      <w:rFonts w:cs="Miriam" w:hint="cs"/>
                      <w:szCs w:val="18"/>
                      <w:rtl/>
                    </w:rPr>
                    <w:t>וח על</w:t>
                  </w:r>
                  <w:r w:rsidR="00AF5A7E">
                    <w:rPr>
                      <w:rFonts w:cs="Miriam" w:hint="cs"/>
                      <w:szCs w:val="18"/>
                      <w:rtl/>
                    </w:rPr>
                    <w:t xml:space="preserve"> </w:t>
                  </w:r>
                  <w:r>
                    <w:rPr>
                      <w:rFonts w:cs="Miriam"/>
                      <w:szCs w:val="18"/>
                      <w:rtl/>
                    </w:rPr>
                    <w:t>א</w:t>
                  </w:r>
                  <w:r>
                    <w:rPr>
                      <w:rFonts w:cs="Miriam" w:hint="cs"/>
                      <w:szCs w:val="18"/>
                      <w:rtl/>
                    </w:rPr>
                    <w:t>ירוע מיוחד</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תדווח למפקח דיווח מלא ומפורט על כל אירוע</w:t>
      </w:r>
      <w:r>
        <w:rPr>
          <w:rtl/>
        </w:rPr>
        <w:t> </w:t>
      </w:r>
      <w:r>
        <w:rPr>
          <w:rStyle w:val="default"/>
          <w:rFonts w:cs="FrankRuehl"/>
          <w:rtl/>
        </w:rPr>
        <w:t xml:space="preserve"> </w:t>
      </w:r>
      <w:r>
        <w:rPr>
          <w:rStyle w:val="default"/>
          <w:rFonts w:cs="FrankRuehl" w:hint="cs"/>
          <w:rtl/>
        </w:rPr>
        <w:t xml:space="preserve">שהשפיע או עלול להשפיע באופן מהותי על מתן שירותי הדואר לקבוצה של מקבלי שירות (להלן </w:t>
      </w:r>
      <w:r w:rsidR="00AF5A7E">
        <w:rPr>
          <w:rStyle w:val="default"/>
          <w:rFonts w:cs="FrankRuehl" w:hint="cs"/>
          <w:rtl/>
        </w:rPr>
        <w:t>-</w:t>
      </w:r>
      <w:r>
        <w:rPr>
          <w:rStyle w:val="default"/>
          <w:rFonts w:cs="FrankRuehl" w:hint="cs"/>
          <w:rtl/>
        </w:rPr>
        <w:t xml:space="preserve"> אירוע מיוחד), בסמוך לאחר התרחשות האירוע; דיווח כאמור יימסר ישירות למפקח ויכיל מידע מלא ומפורט אודות האירוע המיוחד, לרבות מק</w:t>
      </w:r>
      <w:r>
        <w:rPr>
          <w:rStyle w:val="default"/>
          <w:rFonts w:cs="FrankRuehl"/>
          <w:rtl/>
        </w:rPr>
        <w:t>ו</w:t>
      </w:r>
      <w:r>
        <w:rPr>
          <w:rStyle w:val="default"/>
          <w:rFonts w:cs="FrankRuehl" w:hint="cs"/>
          <w:rtl/>
        </w:rPr>
        <w:t>מו, היקף השפעתו והצעדים שננקטו להפסקתו ולמניעתו.</w:t>
      </w:r>
    </w:p>
    <w:p w:rsidR="00F44C94" w:rsidRDefault="00F44C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עוד נמשך האירוע המיוחד, תמסור הרשות למפקח דיווח שוטף בתדירות שיורה עליה המפקח, והמפקח רשאי לדרוש למסור לו, בכל עת, כל מידע הקשור לאירוע.</w:t>
      </w:r>
    </w:p>
    <w:p w:rsidR="00F44C94" w:rsidRDefault="00F44C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אחת לשנה תגיש הרשות למפקח דין וחשבון על כל האירועים המיו</w:t>
      </w:r>
      <w:r>
        <w:rPr>
          <w:rStyle w:val="default"/>
          <w:rFonts w:cs="FrankRuehl"/>
          <w:rtl/>
        </w:rPr>
        <w:t>ח</w:t>
      </w:r>
      <w:r>
        <w:rPr>
          <w:rStyle w:val="default"/>
          <w:rFonts w:cs="FrankRuehl" w:hint="cs"/>
          <w:rtl/>
        </w:rPr>
        <w:t>דים שאירעו בתקופת הדו"ח, ובו יפורטו הלקחים שהפיקה הרשות מכל אירוע והצעדים שנקטה לפיהם.</w:t>
      </w:r>
    </w:p>
    <w:p w:rsidR="00F44C94" w:rsidRDefault="00F44C94">
      <w:pPr>
        <w:pStyle w:val="medium2-header"/>
        <w:keepLines w:val="0"/>
        <w:spacing w:before="72"/>
        <w:ind w:left="0" w:right="1134"/>
        <w:rPr>
          <w:noProof/>
          <w:sz w:val="20"/>
          <w:rtl/>
        </w:rPr>
      </w:pPr>
      <w:bookmarkStart w:id="9" w:name="med2"/>
      <w:bookmarkEnd w:id="9"/>
      <w:r>
        <w:rPr>
          <w:noProof/>
          <w:sz w:val="20"/>
          <w:rtl/>
        </w:rPr>
        <w:t>פ</w:t>
      </w:r>
      <w:r>
        <w:rPr>
          <w:rFonts w:hint="cs"/>
          <w:noProof/>
          <w:sz w:val="20"/>
          <w:rtl/>
        </w:rPr>
        <w:t>רק ג': חובת דיווח</w:t>
      </w:r>
    </w:p>
    <w:p w:rsidR="00F44C94" w:rsidRDefault="00F44C94" w:rsidP="00AF5A7E">
      <w:pPr>
        <w:pStyle w:val="P00"/>
        <w:spacing w:before="72"/>
        <w:ind w:left="0" w:right="1134"/>
        <w:rPr>
          <w:rStyle w:val="default"/>
          <w:rFonts w:cs="FrankRuehl"/>
          <w:rtl/>
        </w:rPr>
      </w:pPr>
      <w:bookmarkStart w:id="10" w:name="Seif8"/>
      <w:bookmarkEnd w:id="10"/>
      <w:r>
        <w:rPr>
          <w:lang w:val="he-IL"/>
        </w:rPr>
        <w:pict>
          <v:rect id="_x0000_s1034" style="position:absolute;left:0;text-align:left;margin-left:464.5pt;margin-top:8.05pt;width:75.05pt;height:16pt;z-index:251659776" o:allowincell="f" filled="f" stroked="f" strokecolor="lime" strokeweight=".25pt">
            <v:textbox inset="0,0,0,0">
              <w:txbxContent>
                <w:p w:rsidR="00F44C94" w:rsidRDefault="00F44C94">
                  <w:pPr>
                    <w:spacing w:line="160" w:lineRule="exact"/>
                    <w:jc w:val="left"/>
                    <w:rPr>
                      <w:rFonts w:cs="Miriam"/>
                      <w:noProof/>
                      <w:szCs w:val="18"/>
                      <w:rtl/>
                    </w:rPr>
                  </w:pPr>
                  <w:r>
                    <w:rPr>
                      <w:rFonts w:cs="Miriam"/>
                      <w:szCs w:val="18"/>
                      <w:rtl/>
                    </w:rPr>
                    <w:t>ד</w:t>
                  </w:r>
                  <w:r>
                    <w:rPr>
                      <w:rFonts w:cs="Miriam" w:hint="cs"/>
                      <w:szCs w:val="18"/>
                      <w:rtl/>
                    </w:rPr>
                    <w:t>ו"חות הרשות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ימציא למפקח תכניות, דינים וחשבונות ומסמכים</w:t>
      </w:r>
      <w:r>
        <w:rPr>
          <w:rStyle w:val="default"/>
          <w:rFonts w:cs="FrankRuehl"/>
          <w:rtl/>
        </w:rPr>
        <w:t xml:space="preserve"> </w:t>
      </w:r>
      <w:r>
        <w:rPr>
          <w:rStyle w:val="default"/>
          <w:rFonts w:cs="FrankRuehl" w:hint="cs"/>
          <w:rtl/>
        </w:rPr>
        <w:t>אחרים כמפורט בתוספת במועדים הקבועים בתקנות אלה, בנושאים</w:t>
      </w:r>
      <w:r>
        <w:rPr>
          <w:rStyle w:val="default"/>
          <w:rFonts w:cs="FrankRuehl"/>
          <w:rtl/>
        </w:rPr>
        <w:t xml:space="preserve"> </w:t>
      </w:r>
      <w:r>
        <w:rPr>
          <w:rStyle w:val="default"/>
          <w:rFonts w:cs="FrankRuehl" w:hint="cs"/>
          <w:rtl/>
        </w:rPr>
        <w:t>המפורטים בהן ובמ</w:t>
      </w:r>
      <w:r>
        <w:rPr>
          <w:rStyle w:val="default"/>
          <w:rFonts w:cs="FrankRuehl"/>
          <w:rtl/>
        </w:rPr>
        <w:t>ת</w:t>
      </w:r>
      <w:r>
        <w:rPr>
          <w:rStyle w:val="default"/>
          <w:rFonts w:cs="FrankRuehl" w:hint="cs"/>
          <w:rtl/>
        </w:rPr>
        <w:t>כונת שיורה עליה המפקח.</w:t>
      </w:r>
    </w:p>
    <w:p w:rsidR="00F44C94" w:rsidRDefault="00F44C9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דינים וחשבונות, שלא נקבע בתוספת מועד להגשתם, תגישם הרשות במועדים ובתדירות אלה:</w:t>
      </w:r>
    </w:p>
    <w:p w:rsidR="00F44C94" w:rsidRDefault="00F44C94" w:rsidP="00AF5A7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דין וחשבון שנתי </w:t>
      </w:r>
      <w:r w:rsidR="00AF5A7E">
        <w:rPr>
          <w:rStyle w:val="default"/>
          <w:rFonts w:cs="FrankRuehl" w:hint="cs"/>
          <w:rtl/>
        </w:rPr>
        <w:t>-</w:t>
      </w:r>
      <w:r>
        <w:rPr>
          <w:rStyle w:val="default"/>
          <w:rFonts w:cs="FrankRuehl" w:hint="cs"/>
          <w:rtl/>
        </w:rPr>
        <w:t xml:space="preserve"> תוך שלושה חודשים מתום השנה;</w:t>
      </w:r>
    </w:p>
    <w:p w:rsidR="00F44C94" w:rsidRDefault="00F44C94" w:rsidP="00AF5A7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דין וחשבון רבעוני </w:t>
      </w:r>
      <w:r w:rsidR="00AF5A7E">
        <w:rPr>
          <w:rStyle w:val="default"/>
          <w:rFonts w:cs="FrankRuehl" w:hint="cs"/>
          <w:rtl/>
        </w:rPr>
        <w:t>-</w:t>
      </w:r>
      <w:r>
        <w:rPr>
          <w:rStyle w:val="default"/>
          <w:rFonts w:cs="FrankRuehl" w:hint="cs"/>
          <w:rtl/>
        </w:rPr>
        <w:t xml:space="preserve"> אחת לכל רבעון, תוך עשרים ואחד ימים מתום הרבעון.</w:t>
      </w:r>
    </w:p>
    <w:p w:rsidR="00F44C94" w:rsidRDefault="00F44C94">
      <w:pPr>
        <w:pStyle w:val="P00"/>
        <w:spacing w:before="72"/>
        <w:ind w:left="0" w:right="1134"/>
        <w:rPr>
          <w:rStyle w:val="default"/>
          <w:rFonts w:cs="FrankRuehl"/>
          <w:rtl/>
        </w:rPr>
      </w:pPr>
      <w:bookmarkStart w:id="11" w:name="Seif9"/>
      <w:bookmarkEnd w:id="11"/>
      <w:r>
        <w:rPr>
          <w:lang w:val="he-IL"/>
        </w:rPr>
        <w:pict>
          <v:rect id="_x0000_s1035" style="position:absolute;left:0;text-align:left;margin-left:464.5pt;margin-top:8.05pt;width:75.05pt;height:15.7pt;z-index:251660800" o:allowincell="f" filled="f" stroked="f" strokecolor="lime" strokeweight=".25pt">
            <v:textbox inset="0,0,0,0">
              <w:txbxContent>
                <w:p w:rsidR="00F44C94" w:rsidRDefault="00F44C94">
                  <w:pPr>
                    <w:spacing w:line="160" w:lineRule="exact"/>
                    <w:jc w:val="left"/>
                    <w:rPr>
                      <w:rFonts w:cs="Miriam"/>
                      <w:noProof/>
                      <w:szCs w:val="18"/>
                      <w:rtl/>
                    </w:rPr>
                  </w:pPr>
                  <w:r>
                    <w:rPr>
                      <w:rFonts w:cs="Miriam"/>
                      <w:szCs w:val="18"/>
                      <w:rtl/>
                    </w:rPr>
                    <w:t>ד</w:t>
                  </w:r>
                  <w:r>
                    <w:rPr>
                      <w:rFonts w:cs="Miriam" w:hint="cs"/>
                      <w:szCs w:val="18"/>
                      <w:rtl/>
                    </w:rPr>
                    <w:t>ו"חות מיוחדים</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רשו</w:t>
      </w:r>
      <w:r>
        <w:rPr>
          <w:rStyle w:val="default"/>
          <w:rFonts w:cs="FrankRuehl"/>
          <w:rtl/>
        </w:rPr>
        <w:t>ת</w:t>
      </w:r>
      <w:r>
        <w:rPr>
          <w:rStyle w:val="default"/>
          <w:rFonts w:cs="FrankRuehl" w:hint="cs"/>
          <w:rtl/>
        </w:rPr>
        <w:t xml:space="preserve"> תמציא למפקח, תוך 14 ימים מיום קבלת דרישתו, דו"חות ומסמכים מיוחדים שהיא מפיקה ושענינם שירותי דואר לציבור.</w:t>
      </w:r>
    </w:p>
    <w:p w:rsidR="00F44C94" w:rsidRDefault="00F44C94">
      <w:pPr>
        <w:pStyle w:val="medium2-header"/>
        <w:keepLines w:val="0"/>
        <w:spacing w:before="72"/>
        <w:ind w:left="0" w:right="1134"/>
        <w:rPr>
          <w:noProof/>
          <w:sz w:val="20"/>
          <w:rtl/>
        </w:rPr>
      </w:pPr>
      <w:bookmarkStart w:id="12" w:name="med3"/>
      <w:bookmarkEnd w:id="12"/>
      <w:r>
        <w:rPr>
          <w:noProof/>
          <w:sz w:val="20"/>
          <w:rtl/>
        </w:rPr>
        <w:t>פ</w:t>
      </w:r>
      <w:r>
        <w:rPr>
          <w:rFonts w:hint="cs"/>
          <w:noProof/>
          <w:sz w:val="20"/>
          <w:rtl/>
        </w:rPr>
        <w:t>רק ד': שונות</w:t>
      </w:r>
    </w:p>
    <w:p w:rsidR="00F44C94" w:rsidRDefault="00F44C94">
      <w:pPr>
        <w:pStyle w:val="P00"/>
        <w:spacing w:before="72"/>
        <w:ind w:left="0" w:right="1134"/>
        <w:rPr>
          <w:rStyle w:val="default"/>
          <w:rFonts w:cs="FrankRuehl"/>
          <w:rtl/>
        </w:rPr>
      </w:pPr>
      <w:bookmarkStart w:id="13" w:name="Seif10"/>
      <w:bookmarkEnd w:id="13"/>
      <w:r>
        <w:rPr>
          <w:lang w:val="he-IL"/>
        </w:rPr>
        <w:pict>
          <v:rect id="_x0000_s1036" style="position:absolute;left:0;text-align:left;margin-left:464.5pt;margin-top:8.05pt;width:75.05pt;height:12pt;z-index:251661824" o:allowincell="f" filled="f" stroked="f" strokecolor="lime" strokeweight=".25pt">
            <v:textbox inset="0,0,0,0">
              <w:txbxContent>
                <w:p w:rsidR="00F44C94" w:rsidRDefault="00F44C94">
                  <w:pPr>
                    <w:spacing w:line="160" w:lineRule="exact"/>
                    <w:jc w:val="left"/>
                    <w:rPr>
                      <w:rFonts w:cs="Miriam"/>
                      <w:noProof/>
                      <w:szCs w:val="18"/>
                      <w:rtl/>
                    </w:rPr>
                  </w:pPr>
                  <w:r>
                    <w:rPr>
                      <w:rFonts w:cs="Miriam"/>
                      <w:szCs w:val="18"/>
                      <w:rtl/>
                    </w:rPr>
                    <w:t>מ</w:t>
                  </w:r>
                  <w:r>
                    <w:rPr>
                      <w:rFonts w:cs="Miriam" w:hint="cs"/>
                      <w:szCs w:val="18"/>
                      <w:rtl/>
                    </w:rPr>
                    <w:t>ידע חסוי</w:t>
                  </w:r>
                </w:p>
              </w:txbxContent>
            </v:textbox>
            <w10:anchorlock/>
          </v:rect>
        </w:pict>
      </w:r>
      <w:r>
        <w:rPr>
          <w:rStyle w:val="big-number"/>
          <w:rtl/>
        </w:rPr>
        <w:t>11.</w:t>
      </w:r>
      <w:r>
        <w:rPr>
          <w:rStyle w:val="big-number"/>
          <w:rtl/>
        </w:rPr>
        <w:tab/>
      </w:r>
      <w:r>
        <w:rPr>
          <w:rStyle w:val="default"/>
          <w:rFonts w:cs="FrankRuehl"/>
          <w:rtl/>
        </w:rPr>
        <w:t>ס</w:t>
      </w:r>
      <w:r>
        <w:rPr>
          <w:rStyle w:val="default"/>
          <w:rFonts w:cs="FrankRuehl" w:hint="cs"/>
          <w:rtl/>
        </w:rPr>
        <w:t>מכות הנתונה לפי תקנות אלה לענין גישה למאגרי מידע ומסמכים, עיון בהם או העתקתם לא תחול על מיד</w:t>
      </w:r>
      <w:r>
        <w:rPr>
          <w:rStyle w:val="default"/>
          <w:rFonts w:cs="FrankRuehl"/>
          <w:rtl/>
        </w:rPr>
        <w:t>ע</w:t>
      </w:r>
      <w:r>
        <w:rPr>
          <w:rStyle w:val="default"/>
          <w:rFonts w:cs="FrankRuehl" w:hint="cs"/>
          <w:rtl/>
        </w:rPr>
        <w:t xml:space="preserve"> החסוי על פי כל דין.</w:t>
      </w:r>
    </w:p>
    <w:p w:rsidR="00F44C94" w:rsidRDefault="00F44C94">
      <w:pPr>
        <w:pStyle w:val="P00"/>
        <w:spacing w:before="72"/>
        <w:ind w:left="0" w:right="1134"/>
        <w:rPr>
          <w:rStyle w:val="default"/>
          <w:rFonts w:cs="FrankRuehl"/>
          <w:rtl/>
        </w:rPr>
      </w:pPr>
      <w:bookmarkStart w:id="14" w:name="Seif11"/>
      <w:bookmarkEnd w:id="14"/>
      <w:r>
        <w:rPr>
          <w:lang w:val="he-IL"/>
        </w:rPr>
        <w:pict>
          <v:rect id="_x0000_s1037" style="position:absolute;left:0;text-align:left;margin-left:464.5pt;margin-top:8.05pt;width:75.05pt;height:12.65pt;z-index:251662848" o:allowincell="f" filled="f" stroked="f" strokecolor="lime" strokeweight=".25pt">
            <v:textbox inset="0,0,0,0">
              <w:txbxContent>
                <w:p w:rsidR="00F44C94" w:rsidRDefault="00F44C94">
                  <w:pPr>
                    <w:spacing w:line="160" w:lineRule="exact"/>
                    <w:jc w:val="left"/>
                    <w:rPr>
                      <w:rFonts w:cs="Miriam"/>
                      <w:noProof/>
                      <w:szCs w:val="18"/>
                      <w:rtl/>
                    </w:rPr>
                  </w:pPr>
                  <w:r>
                    <w:rPr>
                      <w:rFonts w:cs="Miriam"/>
                      <w:szCs w:val="18"/>
                      <w:rtl/>
                    </w:rPr>
                    <w:t>ש</w:t>
                  </w:r>
                  <w:r>
                    <w:rPr>
                      <w:rFonts w:cs="Miriam" w:hint="cs"/>
                      <w:szCs w:val="18"/>
                      <w:rtl/>
                    </w:rPr>
                    <w:t>מירת סודיות</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מפקח וכל מי שהוסמך לקבלת ידיעות לפי תקנות אלה, לא יגלה ידיעה, דין וחשבון או מסמך שנמסרו לו לפי הוראותיהן של תקנות אלה, אלא אם כן דרוש הדבר לצורך ביצוע הפיקוח לפי תקנות אלה.</w:t>
      </w:r>
    </w:p>
    <w:p w:rsidR="00F44C94" w:rsidRDefault="00F44C94">
      <w:pPr>
        <w:pStyle w:val="P00"/>
        <w:spacing w:before="72"/>
        <w:ind w:left="0" w:right="1134"/>
        <w:rPr>
          <w:rStyle w:val="default"/>
          <w:rFonts w:cs="FrankRuehl" w:hint="cs"/>
          <w:rtl/>
        </w:rPr>
      </w:pPr>
      <w:bookmarkStart w:id="15" w:name="Seif12"/>
      <w:bookmarkEnd w:id="15"/>
      <w:r>
        <w:rPr>
          <w:lang w:val="he-IL"/>
        </w:rPr>
        <w:pict>
          <v:rect id="_x0000_s1038" style="position:absolute;left:0;text-align:left;margin-left:464.5pt;margin-top:8.05pt;width:75.05pt;height:11.55pt;z-index:251663872" o:allowincell="f" filled="f" stroked="f" strokecolor="lime" strokeweight=".25pt">
            <v:textbox inset="0,0,0,0">
              <w:txbxContent>
                <w:p w:rsidR="00F44C94" w:rsidRDefault="00F44C94">
                  <w:pPr>
                    <w:spacing w:line="160" w:lineRule="exact"/>
                    <w:jc w:val="left"/>
                    <w:rPr>
                      <w:rFonts w:cs="Miriam"/>
                      <w:noProof/>
                      <w:szCs w:val="18"/>
                      <w:rtl/>
                    </w:rPr>
                  </w:pPr>
                  <w:r>
                    <w:rPr>
                      <w:rFonts w:cs="Miriam"/>
                      <w:szCs w:val="18"/>
                      <w:rtl/>
                    </w:rPr>
                    <w:t>ת</w:t>
                  </w:r>
                  <w:r>
                    <w:rPr>
                      <w:rFonts w:cs="Miriam" w:hint="cs"/>
                      <w:szCs w:val="18"/>
                      <w:rtl/>
                    </w:rPr>
                    <w:t>חיל</w:t>
                  </w:r>
                  <w:r>
                    <w:rPr>
                      <w:rFonts w:cs="Miriam"/>
                      <w:szCs w:val="18"/>
                      <w:rtl/>
                    </w:rPr>
                    <w:t>ה</w:t>
                  </w:r>
                </w:p>
              </w:txbxContent>
            </v:textbox>
            <w10:anchorlock/>
          </v:rect>
        </w:pict>
      </w:r>
      <w:r>
        <w:rPr>
          <w:rStyle w:val="big-number"/>
          <w:rtl/>
        </w:rPr>
        <w:t>13.</w:t>
      </w:r>
      <w:r>
        <w:rPr>
          <w:rStyle w:val="big-number"/>
          <w:rtl/>
        </w:rPr>
        <w:tab/>
      </w:r>
      <w:r>
        <w:rPr>
          <w:rStyle w:val="default"/>
          <w:rFonts w:cs="FrankRuehl"/>
          <w:rtl/>
        </w:rPr>
        <w:t>ת</w:t>
      </w:r>
      <w:r>
        <w:rPr>
          <w:rStyle w:val="default"/>
          <w:rFonts w:cs="FrankRuehl" w:hint="cs"/>
          <w:rtl/>
        </w:rPr>
        <w:t>חילתן של תקנות אלה ביום ד</w:t>
      </w:r>
      <w:r>
        <w:rPr>
          <w:rStyle w:val="default"/>
          <w:rFonts w:cs="FrankRuehl"/>
          <w:rtl/>
        </w:rPr>
        <w:t xml:space="preserve">' </w:t>
      </w:r>
      <w:r>
        <w:rPr>
          <w:rStyle w:val="default"/>
          <w:rFonts w:cs="FrankRuehl" w:hint="cs"/>
          <w:rtl/>
        </w:rPr>
        <w:t>בתמוז תשנ"ה (1 ביולי 1995).</w:t>
      </w:r>
    </w:p>
    <w:p w:rsidR="00AF5A7E" w:rsidRDefault="00AF5A7E">
      <w:pPr>
        <w:pStyle w:val="P00"/>
        <w:spacing w:before="72"/>
        <w:ind w:left="0" w:right="1134"/>
        <w:rPr>
          <w:rStyle w:val="default"/>
          <w:rFonts w:cs="FrankRuehl"/>
          <w:rtl/>
        </w:rPr>
      </w:pPr>
    </w:p>
    <w:p w:rsidR="00F44C94" w:rsidRPr="00AF5A7E" w:rsidRDefault="00F44C94">
      <w:pPr>
        <w:pStyle w:val="medium2-header"/>
        <w:keepLines w:val="0"/>
        <w:spacing w:before="72"/>
        <w:ind w:left="0" w:right="1134"/>
        <w:rPr>
          <w:noProof/>
          <w:sz w:val="26"/>
          <w:szCs w:val="26"/>
          <w:rtl/>
        </w:rPr>
      </w:pPr>
      <w:bookmarkStart w:id="16" w:name="med4"/>
      <w:bookmarkEnd w:id="16"/>
      <w:r w:rsidRPr="00AF5A7E">
        <w:rPr>
          <w:noProof/>
          <w:sz w:val="26"/>
          <w:szCs w:val="26"/>
          <w:rtl/>
        </w:rPr>
        <w:t>ת</w:t>
      </w:r>
      <w:r w:rsidRPr="00AF5A7E">
        <w:rPr>
          <w:rFonts w:hint="cs"/>
          <w:noProof/>
          <w:sz w:val="26"/>
          <w:szCs w:val="26"/>
          <w:rtl/>
        </w:rPr>
        <w:t>וספת</w:t>
      </w:r>
    </w:p>
    <w:p w:rsidR="00F44C94" w:rsidRPr="00AF5A7E" w:rsidRDefault="00F44C94">
      <w:pPr>
        <w:pStyle w:val="medium-header"/>
        <w:keepNext w:val="0"/>
        <w:keepLines w:val="0"/>
        <w:ind w:left="0" w:right="1134"/>
        <w:rPr>
          <w:sz w:val="24"/>
          <w:szCs w:val="24"/>
          <w:rtl/>
        </w:rPr>
      </w:pPr>
      <w:r w:rsidRPr="00AF5A7E">
        <w:rPr>
          <w:sz w:val="24"/>
          <w:szCs w:val="24"/>
          <w:rtl/>
        </w:rPr>
        <w:t>(</w:t>
      </w:r>
      <w:r w:rsidRPr="00AF5A7E">
        <w:rPr>
          <w:rFonts w:hint="cs"/>
          <w:sz w:val="24"/>
          <w:szCs w:val="24"/>
          <w:rtl/>
        </w:rPr>
        <w:t>תקנה 9)</w:t>
      </w:r>
    </w:p>
    <w:p w:rsidR="00F44C94" w:rsidRPr="00AF5A7E" w:rsidRDefault="00F44C94">
      <w:pPr>
        <w:pStyle w:val="medium2-header"/>
        <w:keepLines w:val="0"/>
        <w:spacing w:before="72"/>
        <w:ind w:left="0" w:right="1134"/>
        <w:rPr>
          <w:noProof/>
          <w:sz w:val="22"/>
          <w:szCs w:val="22"/>
          <w:rtl/>
        </w:rPr>
      </w:pPr>
      <w:bookmarkStart w:id="17" w:name="med5"/>
      <w:bookmarkEnd w:id="17"/>
      <w:r w:rsidRPr="00AF5A7E">
        <w:rPr>
          <w:noProof/>
          <w:sz w:val="22"/>
          <w:szCs w:val="22"/>
          <w:rtl/>
        </w:rPr>
        <w:t>ח</w:t>
      </w:r>
      <w:r w:rsidRPr="00AF5A7E">
        <w:rPr>
          <w:rFonts w:hint="cs"/>
          <w:noProof/>
          <w:sz w:val="22"/>
          <w:szCs w:val="22"/>
          <w:rtl/>
        </w:rPr>
        <w:t>לק א': דו"חות בדבר פעולות ביקורת</w:t>
      </w:r>
    </w:p>
    <w:p w:rsidR="00F44C94" w:rsidRDefault="00F44C94">
      <w:pPr>
        <w:pStyle w:val="P02"/>
        <w:spacing w:before="72"/>
        <w:ind w:left="1021" w:right="1134"/>
        <w:rPr>
          <w:rStyle w:val="default"/>
          <w:rFonts w:cs="FrankRuehl"/>
          <w:rtl/>
        </w:rPr>
      </w:pP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ימציא למפקח את הדו"חות המפורטים להלן במועדים הקבועים לצידם:</w:t>
      </w:r>
    </w:p>
    <w:p w:rsidR="00F44C94" w:rsidRDefault="00F44C94" w:rsidP="00AF5A7E">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דו"חות ביקורת של מבקר הפנים של הרשות, שענינם שירותי דואר לציבור וכן החלטות המנהל והמועצה</w:t>
      </w:r>
      <w:r>
        <w:rPr>
          <w:rStyle w:val="default"/>
          <w:rFonts w:cs="FrankRuehl"/>
          <w:rtl/>
        </w:rPr>
        <w:t xml:space="preserve"> </w:t>
      </w:r>
      <w:r>
        <w:rPr>
          <w:rStyle w:val="default"/>
          <w:rFonts w:cs="FrankRuehl" w:hint="cs"/>
          <w:rtl/>
        </w:rPr>
        <w:t xml:space="preserve">לגביהם </w:t>
      </w:r>
      <w:r w:rsidR="00AF5A7E">
        <w:rPr>
          <w:rStyle w:val="default"/>
          <w:rFonts w:cs="FrankRuehl" w:hint="cs"/>
          <w:rtl/>
        </w:rPr>
        <w:t>-</w:t>
      </w:r>
      <w:r>
        <w:rPr>
          <w:rStyle w:val="default"/>
          <w:rFonts w:cs="FrankRuehl"/>
          <w:rtl/>
        </w:rPr>
        <w:t xml:space="preserve"> </w:t>
      </w:r>
      <w:r>
        <w:rPr>
          <w:rStyle w:val="default"/>
          <w:rFonts w:cs="FrankRuehl" w:hint="cs"/>
          <w:rtl/>
        </w:rPr>
        <w:t>בסמוך לאחר מתן החלטות;</w:t>
      </w:r>
    </w:p>
    <w:p w:rsidR="00F44C94" w:rsidRDefault="00F44C94" w:rsidP="00AF5A7E">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תגובת המנהל לדו"חות סופיים של מבקר המדינה</w:t>
      </w:r>
      <w:r>
        <w:rPr>
          <w:rStyle w:val="default"/>
          <w:rFonts w:cs="FrankRuehl"/>
          <w:rtl/>
        </w:rPr>
        <w:t xml:space="preserve"> </w:t>
      </w:r>
      <w:r>
        <w:rPr>
          <w:rStyle w:val="default"/>
          <w:rFonts w:cs="FrankRuehl" w:hint="cs"/>
          <w:rtl/>
        </w:rPr>
        <w:t xml:space="preserve">שענינם שירותי דואר לציבור </w:t>
      </w:r>
      <w:r w:rsidR="00AF5A7E">
        <w:rPr>
          <w:rStyle w:val="default"/>
          <w:rFonts w:cs="FrankRuehl" w:hint="cs"/>
          <w:rtl/>
        </w:rPr>
        <w:t>-</w:t>
      </w:r>
      <w:r>
        <w:rPr>
          <w:rStyle w:val="default"/>
          <w:rFonts w:cs="FrankRuehl" w:hint="cs"/>
          <w:rtl/>
        </w:rPr>
        <w:t xml:space="preserve"> בסמוך לאחר מתן</w:t>
      </w:r>
      <w:r>
        <w:rPr>
          <w:rStyle w:val="default"/>
          <w:rFonts w:cs="FrankRuehl"/>
          <w:rtl/>
        </w:rPr>
        <w:t xml:space="preserve"> </w:t>
      </w:r>
      <w:r>
        <w:rPr>
          <w:rStyle w:val="default"/>
          <w:rFonts w:cs="FrankRuehl" w:hint="cs"/>
          <w:rtl/>
        </w:rPr>
        <w:t>התגובה.</w:t>
      </w:r>
    </w:p>
    <w:p w:rsidR="00F44C94" w:rsidRDefault="00F44C94" w:rsidP="00AF5A7E">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המפקח רשאי לדרוש מהמנהל מסמכים הנוגעים לדו"חות</w:t>
      </w:r>
      <w:r>
        <w:rPr>
          <w:rStyle w:val="default"/>
          <w:rFonts w:cs="FrankRuehl"/>
          <w:rtl/>
        </w:rPr>
        <w:t xml:space="preserve"> </w:t>
      </w:r>
      <w:r>
        <w:rPr>
          <w:rStyle w:val="default"/>
          <w:rFonts w:cs="FrankRuehl" w:hint="cs"/>
          <w:rtl/>
        </w:rPr>
        <w:t>ביקורת שקיבל כאמור בסעיף קטן (א) והמנהל ימציאם לו תוך 14 ימים מיום קבלת הדריש</w:t>
      </w:r>
      <w:r>
        <w:rPr>
          <w:rStyle w:val="default"/>
          <w:rFonts w:cs="FrankRuehl"/>
          <w:rtl/>
        </w:rPr>
        <w:t>ה</w:t>
      </w:r>
      <w:r>
        <w:rPr>
          <w:rStyle w:val="default"/>
          <w:rFonts w:cs="FrankRuehl" w:hint="cs"/>
          <w:rtl/>
        </w:rPr>
        <w:t>.</w:t>
      </w:r>
    </w:p>
    <w:p w:rsidR="00F44C94" w:rsidRPr="00AF5A7E" w:rsidRDefault="00F44C94">
      <w:pPr>
        <w:pStyle w:val="medium2-header"/>
        <w:keepLines w:val="0"/>
        <w:spacing w:before="72"/>
        <w:ind w:left="0" w:right="1134"/>
        <w:rPr>
          <w:noProof/>
          <w:sz w:val="22"/>
          <w:szCs w:val="22"/>
          <w:rtl/>
        </w:rPr>
      </w:pPr>
      <w:bookmarkStart w:id="18" w:name="med6"/>
      <w:bookmarkEnd w:id="18"/>
      <w:r w:rsidRPr="00AF5A7E">
        <w:rPr>
          <w:noProof/>
          <w:sz w:val="22"/>
          <w:szCs w:val="22"/>
          <w:rtl/>
        </w:rPr>
        <w:t>ח</w:t>
      </w:r>
      <w:r w:rsidRPr="00AF5A7E">
        <w:rPr>
          <w:rFonts w:hint="cs"/>
          <w:noProof/>
          <w:sz w:val="22"/>
          <w:szCs w:val="22"/>
          <w:rtl/>
        </w:rPr>
        <w:t>לק ב': דו"חות של הרשות בדבר איכות שירותי הדואר</w:t>
      </w:r>
    </w:p>
    <w:p w:rsidR="00F44C94" w:rsidRDefault="00F44C94">
      <w:pPr>
        <w:pStyle w:val="P02"/>
        <w:spacing w:before="72"/>
        <w:ind w:left="1021" w:right="1134"/>
        <w:rPr>
          <w:rStyle w:val="default"/>
          <w:rFonts w:cs="FrankRuehl"/>
          <w:rtl/>
        </w:rPr>
      </w:pP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יגיש למפקח את הדו"חות בדבר איכות שירותי הדואר, לפי בדיקה מדגמית שהרשות עורכת מזמן לזמן, לגבי כל שירות שהרשות נותנת ובלי למעט מכלליות האמור, בנושאים אלה:</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2.1</w:t>
      </w:r>
      <w:r>
        <w:rPr>
          <w:rStyle w:val="default"/>
          <w:rFonts w:cs="FrankRuehl"/>
          <w:rtl/>
        </w:rPr>
        <w:tab/>
      </w:r>
      <w:r>
        <w:rPr>
          <w:rStyle w:val="default"/>
          <w:rFonts w:cs="FrankRuehl" w:hint="cs"/>
          <w:rtl/>
        </w:rPr>
        <w:t xml:space="preserve">ממוצע והתפלגות זמן העברה של דברי </w:t>
      </w:r>
      <w:r>
        <w:rPr>
          <w:rStyle w:val="default"/>
          <w:rFonts w:cs="FrankRuehl"/>
          <w:rtl/>
        </w:rPr>
        <w:t>ד</w:t>
      </w:r>
      <w:r>
        <w:rPr>
          <w:rStyle w:val="default"/>
          <w:rFonts w:cs="FrankRuehl" w:hint="cs"/>
          <w:rtl/>
        </w:rPr>
        <w:t>ואר בארץ, לפי אלה:</w:t>
      </w:r>
    </w:p>
    <w:p w:rsidR="00F44C94" w:rsidRDefault="00F44C94">
      <w:pPr>
        <w:pStyle w:val="P33"/>
        <w:spacing w:before="72"/>
        <w:ind w:left="1474" w:right="1134"/>
        <w:rPr>
          <w:rStyle w:val="default"/>
          <w:rFonts w:cs="FrankRuehl"/>
          <w:rtl/>
        </w:rPr>
      </w:pPr>
      <w:r>
        <w:rPr>
          <w:rStyle w:val="default"/>
          <w:rFonts w:cs="FrankRuehl"/>
          <w:rtl/>
        </w:rPr>
        <w:t xml:space="preserve">2.1.1 </w:t>
      </w:r>
      <w:r>
        <w:rPr>
          <w:rStyle w:val="default"/>
          <w:rFonts w:cs="FrankRuehl" w:hint="cs"/>
          <w:rtl/>
        </w:rPr>
        <w:t>מכתב הנשלח בשירות רגיל של העברת מכתבים;</w:t>
      </w:r>
    </w:p>
    <w:p w:rsidR="00F44C94" w:rsidRDefault="00F44C94">
      <w:pPr>
        <w:pStyle w:val="P33"/>
        <w:spacing w:before="72"/>
        <w:ind w:left="1474" w:right="1134"/>
        <w:rPr>
          <w:rStyle w:val="default"/>
          <w:rFonts w:cs="FrankRuehl"/>
          <w:rtl/>
        </w:rPr>
      </w:pPr>
      <w:r>
        <w:rPr>
          <w:rStyle w:val="default"/>
          <w:rFonts w:cs="FrankRuehl"/>
          <w:rtl/>
        </w:rPr>
        <w:t xml:space="preserve">2.1.2 </w:t>
      </w:r>
      <w:r>
        <w:rPr>
          <w:rStyle w:val="default"/>
          <w:rFonts w:cs="FrankRuehl" w:hint="cs"/>
          <w:rtl/>
        </w:rPr>
        <w:t>מכתב רשום;</w:t>
      </w:r>
    </w:p>
    <w:p w:rsidR="00F44C94" w:rsidRDefault="00F44C94">
      <w:pPr>
        <w:pStyle w:val="P33"/>
        <w:spacing w:before="72"/>
        <w:ind w:left="1474" w:right="1134"/>
        <w:rPr>
          <w:rStyle w:val="default"/>
          <w:rFonts w:cs="FrankRuehl"/>
          <w:rtl/>
        </w:rPr>
      </w:pPr>
      <w:r>
        <w:rPr>
          <w:rStyle w:val="default"/>
          <w:rFonts w:cs="FrankRuehl"/>
          <w:rtl/>
        </w:rPr>
        <w:t xml:space="preserve">2.1.3 </w:t>
      </w:r>
      <w:r>
        <w:rPr>
          <w:rStyle w:val="default"/>
          <w:rFonts w:cs="FrankRuehl" w:hint="cs"/>
          <w:rtl/>
        </w:rPr>
        <w:t>מכתב שנשלח בשירות מהיר-אקספרס מאשנב לנמען.</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2.2</w:t>
      </w:r>
      <w:r>
        <w:rPr>
          <w:rStyle w:val="default"/>
          <w:rFonts w:cs="FrankRuehl"/>
          <w:rtl/>
        </w:rPr>
        <w:tab/>
      </w:r>
      <w:r>
        <w:rPr>
          <w:rStyle w:val="default"/>
          <w:rFonts w:cs="FrankRuehl" w:hint="cs"/>
          <w:rtl/>
        </w:rPr>
        <w:t xml:space="preserve">ממוצע של זמן המתנה לקבלת שירות, שיכלול, בין היתר, את שם יחידת הדואר שבה בוצעה הבדיקה ותאריך </w:t>
      </w:r>
      <w:r>
        <w:rPr>
          <w:rStyle w:val="default"/>
          <w:rFonts w:cs="FrankRuehl"/>
          <w:rtl/>
        </w:rPr>
        <w:t>ב</w:t>
      </w:r>
      <w:r>
        <w:rPr>
          <w:rStyle w:val="default"/>
          <w:rFonts w:cs="FrankRuehl" w:hint="cs"/>
          <w:rtl/>
        </w:rPr>
        <w:t>יצועה.</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2.3</w:t>
      </w:r>
      <w:r>
        <w:rPr>
          <w:rStyle w:val="default"/>
          <w:rFonts w:cs="FrankRuehl"/>
          <w:rtl/>
        </w:rPr>
        <w:tab/>
      </w:r>
      <w:r>
        <w:rPr>
          <w:rStyle w:val="default"/>
          <w:rFonts w:cs="FrankRuehl" w:hint="cs"/>
          <w:rtl/>
        </w:rPr>
        <w:t>דו"ח חלוקת מכתבים רשומים, שיכלול, בין היתר, הסבר לאי-מסירת דברי דואר רשומים.</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2.4</w:t>
      </w:r>
      <w:r>
        <w:rPr>
          <w:rStyle w:val="default"/>
          <w:rFonts w:cs="FrankRuehl"/>
          <w:rtl/>
        </w:rPr>
        <w:tab/>
      </w:r>
      <w:r>
        <w:rPr>
          <w:rStyle w:val="default"/>
          <w:rFonts w:cs="FrankRuehl" w:hint="cs"/>
          <w:rtl/>
        </w:rPr>
        <w:t>דו"ח תקינות תיבות דואר.</w:t>
      </w:r>
    </w:p>
    <w:p w:rsidR="00F44C94" w:rsidRDefault="00F44C9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הבדיקה המדגמית תיערך רק לגבי דברי דואר שנשלחו בהתאם לכללים הקבועים במדריך הדואר.</w:t>
      </w:r>
    </w:p>
    <w:p w:rsidR="00F44C94" w:rsidRDefault="00F44C9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דו"ח כאמור יוגש ב-3 עותקים; הדו"ח יכלול א</w:t>
      </w:r>
      <w:r>
        <w:rPr>
          <w:rStyle w:val="default"/>
          <w:rFonts w:cs="FrankRuehl"/>
          <w:rtl/>
        </w:rPr>
        <w:t>ת</w:t>
      </w:r>
      <w:r>
        <w:rPr>
          <w:rStyle w:val="default"/>
          <w:rFonts w:cs="FrankRuehl" w:hint="cs"/>
          <w:rtl/>
        </w:rPr>
        <w:t xml:space="preserve"> תאריך הבדיקות ומקום ביצועם.</w:t>
      </w:r>
    </w:p>
    <w:p w:rsidR="00F44C94" w:rsidRDefault="00F44C94">
      <w:pPr>
        <w:pStyle w:val="P00"/>
        <w:spacing w:before="72"/>
        <w:ind w:left="0" w:right="1134"/>
        <w:rPr>
          <w:rStyle w:val="default"/>
          <w:rFonts w:cs="FrankRuehl"/>
          <w:rtl/>
        </w:rPr>
      </w:pPr>
      <w:r>
        <w:rPr>
          <w:rStyle w:val="big-number"/>
          <w:rtl/>
        </w:rPr>
        <w:t>3.</w:t>
      </w:r>
      <w:r>
        <w:rPr>
          <w:rStyle w:val="big-number"/>
          <w:rtl/>
        </w:rPr>
        <w:tab/>
      </w:r>
      <w:r>
        <w:rPr>
          <w:rStyle w:val="default"/>
          <w:rFonts w:cs="FrankRuehl"/>
          <w:rtl/>
        </w:rPr>
        <w:t>ד</w:t>
      </w:r>
      <w:r>
        <w:rPr>
          <w:rStyle w:val="default"/>
          <w:rFonts w:cs="FrankRuehl" w:hint="cs"/>
          <w:rtl/>
        </w:rPr>
        <w:t>ו"ח על פניות הציבור</w:t>
      </w:r>
    </w:p>
    <w:p w:rsidR="00F44C94" w:rsidRDefault="00F44C94" w:rsidP="00AF5A7E">
      <w:pPr>
        <w:pStyle w:val="P02"/>
        <w:spacing w:before="72"/>
        <w:ind w:left="1021" w:right="1134"/>
        <w:rPr>
          <w:rStyle w:val="default"/>
          <w:rFonts w:cs="FrankRuehl"/>
          <w:rtl/>
        </w:rPr>
      </w:pPr>
      <w:r>
        <w:rPr>
          <w:rtl/>
        </w:rPr>
        <w:tab/>
      </w:r>
      <w:r>
        <w:rPr>
          <w:rStyle w:val="default"/>
          <w:rFonts w:cs="FrankRuehl"/>
          <w:rtl/>
        </w:rPr>
        <w:t>3.1</w:t>
      </w:r>
      <w:r>
        <w:rPr>
          <w:rStyle w:val="default"/>
          <w:rFonts w:cs="FrankRuehl"/>
          <w:rtl/>
        </w:rPr>
        <w:tab/>
      </w:r>
      <w:r>
        <w:rPr>
          <w:rStyle w:val="default"/>
          <w:rFonts w:cs="FrankRuehl" w:hint="cs"/>
          <w:rtl/>
        </w:rPr>
        <w:t>המנהל יגיש למפקח דו"ח רבעוני ושנתי בנושא פניות הציבור לגבי שירותי דואר בארץ ודו"ח שנתי כאמור לגבי שירותי דואר לחו"ל; כל דו"ח יכלול נתונים בדבר כמות הפניות</w:t>
      </w:r>
      <w:r>
        <w:rPr>
          <w:rStyle w:val="default"/>
          <w:rFonts w:cs="FrankRuehl"/>
          <w:rtl/>
        </w:rPr>
        <w:t xml:space="preserve"> </w:t>
      </w:r>
      <w:r>
        <w:rPr>
          <w:rStyle w:val="default"/>
          <w:rFonts w:cs="FrankRuehl" w:hint="cs"/>
          <w:rtl/>
        </w:rPr>
        <w:t>לתקופות הדו"ח, לפי סוגי השירותים.</w:t>
      </w:r>
    </w:p>
    <w:p w:rsidR="00F44C94" w:rsidRDefault="00F44C94">
      <w:pPr>
        <w:pStyle w:val="P02"/>
        <w:spacing w:before="72"/>
        <w:ind w:left="1021" w:right="1134"/>
        <w:rPr>
          <w:rStyle w:val="default"/>
          <w:rFonts w:cs="FrankRuehl"/>
          <w:rtl/>
        </w:rPr>
      </w:pPr>
      <w:r>
        <w:rPr>
          <w:rtl/>
        </w:rPr>
        <w:tab/>
      </w:r>
      <w:r>
        <w:rPr>
          <w:rStyle w:val="default"/>
          <w:rFonts w:cs="FrankRuehl"/>
          <w:rtl/>
        </w:rPr>
        <w:t>3.2</w:t>
      </w:r>
      <w:r>
        <w:rPr>
          <w:rStyle w:val="default"/>
          <w:rFonts w:cs="FrankRuehl"/>
          <w:rtl/>
        </w:rPr>
        <w:tab/>
      </w:r>
      <w:r>
        <w:rPr>
          <w:rStyle w:val="default"/>
          <w:rFonts w:cs="FrankRuehl" w:hint="cs"/>
          <w:rtl/>
        </w:rPr>
        <w:t>תו</w:t>
      </w:r>
      <w:r>
        <w:rPr>
          <w:rStyle w:val="default"/>
          <w:rFonts w:cs="FrankRuehl"/>
          <w:rtl/>
        </w:rPr>
        <w:t>ך</w:t>
      </w:r>
      <w:r>
        <w:rPr>
          <w:rStyle w:val="default"/>
          <w:rFonts w:cs="FrankRuehl" w:hint="cs"/>
          <w:rtl/>
        </w:rPr>
        <w:t xml:space="preserve"> שנה מתחילתן של תקנות אלה, יכלול הדו"ח גם נתונים בדבר נושאי הפניות לכל סוג שירות.</w:t>
      </w:r>
    </w:p>
    <w:p w:rsidR="00F44C94" w:rsidRDefault="00F44C94" w:rsidP="00AF5A7E">
      <w:pPr>
        <w:pStyle w:val="P01"/>
        <w:spacing w:before="72"/>
        <w:ind w:left="624" w:right="1134"/>
        <w:rPr>
          <w:rStyle w:val="default"/>
          <w:rFonts w:cs="FrankRuehl"/>
          <w:rtl/>
        </w:rPr>
      </w:pPr>
      <w:r>
        <w:rPr>
          <w:rStyle w:val="big-number"/>
          <w:rtl/>
        </w:rPr>
        <w:t>4.</w:t>
      </w:r>
      <w:r>
        <w:rPr>
          <w:rStyle w:val="big-number"/>
          <w:rtl/>
        </w:rPr>
        <w:tab/>
      </w:r>
      <w:r>
        <w:rPr>
          <w:rStyle w:val="default"/>
          <w:rFonts w:cs="FrankRuehl"/>
          <w:rtl/>
        </w:rPr>
        <w:t>ה</w:t>
      </w:r>
      <w:r>
        <w:rPr>
          <w:rStyle w:val="default"/>
          <w:rFonts w:cs="FrankRuehl" w:hint="cs"/>
          <w:rtl/>
        </w:rPr>
        <w:t xml:space="preserve">מפקח רשאי לדרוש מהמנהל להמציא לו פרטים מלאים ומפורטים על כל הדו"חות בפסקאות 2.1 עד 2.4 (להלן </w:t>
      </w:r>
      <w:r w:rsidR="00AF5A7E">
        <w:rPr>
          <w:rStyle w:val="default"/>
          <w:rFonts w:cs="FrankRuehl" w:hint="cs"/>
          <w:rtl/>
        </w:rPr>
        <w:t>-</w:t>
      </w:r>
      <w:r>
        <w:rPr>
          <w:rStyle w:val="default"/>
          <w:rFonts w:cs="FrankRuehl" w:hint="cs"/>
          <w:rtl/>
        </w:rPr>
        <w:t xml:space="preserve"> דו"חות מילואים) הדרושים לדעתו לשם הסקת מסקנות בדבר איכות השירות; המנהל יגי</w:t>
      </w:r>
      <w:r>
        <w:rPr>
          <w:rStyle w:val="default"/>
          <w:rFonts w:cs="FrankRuehl"/>
          <w:rtl/>
        </w:rPr>
        <w:t>ש</w:t>
      </w:r>
      <w:r>
        <w:rPr>
          <w:rStyle w:val="default"/>
          <w:rFonts w:cs="FrankRuehl" w:hint="cs"/>
          <w:rtl/>
        </w:rPr>
        <w:t xml:space="preserve"> למפקח דו"ח מילואים תוך 30 ימים מיום קבלת בקשתו של המפקח.</w:t>
      </w:r>
    </w:p>
    <w:p w:rsidR="00F44C94" w:rsidRPr="00AF5A7E" w:rsidRDefault="00F44C94">
      <w:pPr>
        <w:pStyle w:val="medium2-header"/>
        <w:keepLines w:val="0"/>
        <w:spacing w:before="72"/>
        <w:ind w:left="0" w:right="1134"/>
        <w:rPr>
          <w:noProof/>
          <w:sz w:val="22"/>
          <w:szCs w:val="22"/>
          <w:rtl/>
        </w:rPr>
      </w:pPr>
      <w:bookmarkStart w:id="19" w:name="med7"/>
      <w:bookmarkEnd w:id="19"/>
      <w:r w:rsidRPr="00AF5A7E">
        <w:rPr>
          <w:noProof/>
          <w:sz w:val="22"/>
          <w:szCs w:val="22"/>
          <w:rtl/>
        </w:rPr>
        <w:t>ח</w:t>
      </w:r>
      <w:r w:rsidRPr="00AF5A7E">
        <w:rPr>
          <w:rFonts w:hint="cs"/>
          <w:noProof/>
          <w:sz w:val="22"/>
          <w:szCs w:val="22"/>
          <w:rtl/>
        </w:rPr>
        <w:t>לק ג': תכניות תקופתיות</w:t>
      </w:r>
    </w:p>
    <w:p w:rsidR="00F44C94" w:rsidRDefault="00F44C94">
      <w:pPr>
        <w:pStyle w:val="P00"/>
        <w:spacing w:before="72"/>
        <w:ind w:left="0" w:right="1134"/>
        <w:rPr>
          <w:rStyle w:val="default"/>
          <w:rFonts w:cs="FrankRuehl"/>
          <w:rtl/>
        </w:rPr>
      </w:pPr>
      <w:r>
        <w:rPr>
          <w:rStyle w:val="big-number"/>
          <w:rtl/>
        </w:rPr>
        <w:t>5.</w:t>
      </w:r>
      <w:r>
        <w:rPr>
          <w:rStyle w:val="big-number"/>
          <w:rtl/>
        </w:rPr>
        <w:tab/>
      </w:r>
      <w:r>
        <w:rPr>
          <w:rStyle w:val="default"/>
          <w:rFonts w:cs="FrankRuehl"/>
          <w:rtl/>
        </w:rPr>
        <w:t>ת</w:t>
      </w:r>
      <w:r>
        <w:rPr>
          <w:rStyle w:val="default"/>
          <w:rFonts w:cs="FrankRuehl" w:hint="cs"/>
          <w:rtl/>
        </w:rPr>
        <w:t>כנית פיתוח רב-שנתית</w:t>
      </w:r>
    </w:p>
    <w:p w:rsidR="00F44C94" w:rsidRDefault="00F44C94" w:rsidP="00AF5A7E">
      <w:pPr>
        <w:pStyle w:val="P02"/>
        <w:spacing w:before="72"/>
        <w:ind w:left="1021" w:right="1134"/>
        <w:rPr>
          <w:rStyle w:val="default"/>
          <w:rFonts w:cs="FrankRuehl"/>
          <w:rtl/>
        </w:rPr>
      </w:pPr>
      <w:r>
        <w:rPr>
          <w:rtl/>
        </w:rPr>
        <w:tab/>
      </w:r>
      <w:r>
        <w:rPr>
          <w:rStyle w:val="default"/>
          <w:rFonts w:cs="FrankRuehl"/>
          <w:rtl/>
        </w:rPr>
        <w:t>5.1</w:t>
      </w:r>
      <w:r>
        <w:rPr>
          <w:rStyle w:val="default"/>
          <w:rFonts w:cs="FrankRuehl"/>
          <w:rtl/>
        </w:rPr>
        <w:tab/>
      </w:r>
      <w:r>
        <w:rPr>
          <w:rStyle w:val="default"/>
          <w:rFonts w:cs="FrankRuehl" w:hint="cs"/>
          <w:rtl/>
        </w:rPr>
        <w:t xml:space="preserve">המנהל יגיש למפקח תכנית פיתוח חמש-שנתית (להלן </w:t>
      </w:r>
      <w:r w:rsidR="00AF5A7E">
        <w:rPr>
          <w:rStyle w:val="default"/>
          <w:rFonts w:cs="FrankRuehl" w:hint="cs"/>
          <w:rtl/>
        </w:rPr>
        <w:t>-</w:t>
      </w:r>
      <w:r>
        <w:rPr>
          <w:rStyle w:val="default"/>
          <w:rFonts w:cs="FrankRuehl" w:hint="cs"/>
          <w:rtl/>
        </w:rPr>
        <w:t xml:space="preserve"> תכנית החומש), שתכלול, בין היתר, נושאים אלה:</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5.1.1</w:t>
      </w:r>
      <w:r>
        <w:rPr>
          <w:rStyle w:val="default"/>
          <w:rFonts w:cs="FrankRuehl"/>
          <w:rtl/>
        </w:rPr>
        <w:tab/>
      </w:r>
      <w:r>
        <w:rPr>
          <w:rStyle w:val="default"/>
          <w:rFonts w:cs="FrankRuehl" w:hint="cs"/>
          <w:rtl/>
        </w:rPr>
        <w:t>יעדים והנחות יסוד ל</w:t>
      </w:r>
      <w:r>
        <w:rPr>
          <w:rStyle w:val="default"/>
          <w:rFonts w:cs="FrankRuehl"/>
          <w:rtl/>
        </w:rPr>
        <w:t>ג</w:t>
      </w:r>
      <w:r>
        <w:rPr>
          <w:rStyle w:val="default"/>
          <w:rFonts w:cs="FrankRuehl" w:hint="cs"/>
          <w:rtl/>
        </w:rPr>
        <w:t>יבוש התכנית מן ההיבט הכלכלי והטכנולוגי ביחס לביקוש הקיים והצפוי לשירותי דואר;</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5.1.2</w:t>
      </w:r>
      <w:r>
        <w:rPr>
          <w:rStyle w:val="default"/>
          <w:rFonts w:cs="FrankRuehl"/>
          <w:rtl/>
        </w:rPr>
        <w:tab/>
      </w:r>
      <w:r>
        <w:rPr>
          <w:rStyle w:val="default"/>
          <w:rFonts w:cs="FrankRuehl" w:hint="cs"/>
          <w:rtl/>
        </w:rPr>
        <w:t>השקעות כספיות ותכנון תקציבי;</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5.1.3</w:t>
      </w:r>
      <w:r>
        <w:rPr>
          <w:rStyle w:val="default"/>
          <w:rFonts w:cs="FrankRuehl"/>
          <w:rtl/>
        </w:rPr>
        <w:tab/>
      </w:r>
      <w:r>
        <w:rPr>
          <w:rStyle w:val="default"/>
          <w:rFonts w:cs="FrankRuehl" w:hint="cs"/>
          <w:rtl/>
        </w:rPr>
        <w:t>פיתוח המערכת הכלל-ארצית של שירותי הדואר;</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5.1.4</w:t>
      </w:r>
      <w:r>
        <w:rPr>
          <w:rStyle w:val="default"/>
          <w:rFonts w:cs="FrankRuehl"/>
          <w:rtl/>
        </w:rPr>
        <w:tab/>
      </w:r>
      <w:r>
        <w:rPr>
          <w:rStyle w:val="default"/>
          <w:rFonts w:cs="FrankRuehl" w:hint="cs"/>
          <w:rtl/>
        </w:rPr>
        <w:t>האמצעים המתוכננים לשיפור טיבם של שירותי הדואר שנותנת הרשות;</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5.1.5</w:t>
      </w:r>
      <w:r>
        <w:rPr>
          <w:rStyle w:val="default"/>
          <w:rFonts w:cs="FrankRuehl"/>
          <w:rtl/>
        </w:rPr>
        <w:tab/>
      </w:r>
      <w:r>
        <w:rPr>
          <w:rStyle w:val="default"/>
          <w:rFonts w:cs="FrankRuehl" w:hint="cs"/>
          <w:rtl/>
        </w:rPr>
        <w:t xml:space="preserve">שינויים צפויים </w:t>
      </w:r>
      <w:r>
        <w:rPr>
          <w:rStyle w:val="default"/>
          <w:rFonts w:cs="FrankRuehl"/>
          <w:rtl/>
        </w:rPr>
        <w:t>ב</w:t>
      </w:r>
      <w:r>
        <w:rPr>
          <w:rStyle w:val="default"/>
          <w:rFonts w:cs="FrankRuehl" w:hint="cs"/>
          <w:rtl/>
        </w:rPr>
        <w:t>מערך כוח-האדם ובהיקף כוח-האדם המקצועי.</w:t>
      </w:r>
    </w:p>
    <w:p w:rsidR="00F44C94" w:rsidRDefault="00F44C94" w:rsidP="00AF5A7E">
      <w:pPr>
        <w:pStyle w:val="P02"/>
        <w:spacing w:before="72"/>
        <w:ind w:left="1021" w:right="1134"/>
        <w:rPr>
          <w:rStyle w:val="default"/>
          <w:rFonts w:cs="FrankRuehl"/>
          <w:rtl/>
        </w:rPr>
      </w:pPr>
      <w:r>
        <w:rPr>
          <w:rtl/>
        </w:rPr>
        <w:tab/>
      </w:r>
      <w:r>
        <w:rPr>
          <w:rStyle w:val="default"/>
          <w:rFonts w:cs="FrankRuehl"/>
          <w:rtl/>
        </w:rPr>
        <w:t>5.2</w:t>
      </w:r>
      <w:r>
        <w:rPr>
          <w:rStyle w:val="default"/>
          <w:rFonts w:cs="FrankRuehl"/>
          <w:rtl/>
        </w:rPr>
        <w:tab/>
      </w:r>
      <w:r>
        <w:rPr>
          <w:rStyle w:val="default"/>
          <w:rFonts w:cs="FrankRuehl" w:hint="cs"/>
          <w:rtl/>
        </w:rPr>
        <w:t>תכנית החומש תוגש אחת לחמש שנים; תכנית החומש</w:t>
      </w:r>
      <w:r>
        <w:rPr>
          <w:rStyle w:val="default"/>
          <w:rFonts w:cs="FrankRuehl"/>
          <w:rtl/>
        </w:rPr>
        <w:t xml:space="preserve"> </w:t>
      </w:r>
      <w:r>
        <w:rPr>
          <w:rStyle w:val="default"/>
          <w:rFonts w:cs="FrankRuehl" w:hint="cs"/>
          <w:rtl/>
        </w:rPr>
        <w:t>הראשונה תהיה לגבי התקופה שתחילתה בשנת 1996 ותוגש לא יאוחר מיום ז' בכסלו תשנ"ו (30 בנובמבר 1995); כל תכנית חומש שלאחר התכנית הראשונה תוגש במצורף עם תכנית העבודה השנתית</w:t>
      </w:r>
      <w:r>
        <w:rPr>
          <w:rStyle w:val="default"/>
          <w:rFonts w:cs="FrankRuehl"/>
          <w:rtl/>
        </w:rPr>
        <w:t xml:space="preserve"> </w:t>
      </w:r>
      <w:r>
        <w:rPr>
          <w:rStyle w:val="default"/>
          <w:rFonts w:cs="FrankRuehl" w:hint="cs"/>
          <w:rtl/>
        </w:rPr>
        <w:t>של השנה האחרונה לתקופת תכנית החומש.</w:t>
      </w:r>
    </w:p>
    <w:p w:rsidR="00F44C94" w:rsidRDefault="00F44C94">
      <w:pPr>
        <w:pStyle w:val="P02"/>
        <w:spacing w:before="72"/>
        <w:ind w:left="1021" w:right="1134"/>
        <w:rPr>
          <w:rStyle w:val="default"/>
          <w:rFonts w:cs="FrankRuehl"/>
          <w:rtl/>
        </w:rPr>
      </w:pPr>
      <w:r>
        <w:rPr>
          <w:rtl/>
        </w:rPr>
        <w:tab/>
      </w:r>
      <w:r>
        <w:rPr>
          <w:rStyle w:val="default"/>
          <w:rFonts w:cs="FrankRuehl"/>
          <w:rtl/>
        </w:rPr>
        <w:t>5.3</w:t>
      </w:r>
      <w:r>
        <w:rPr>
          <w:rStyle w:val="default"/>
          <w:rFonts w:cs="FrankRuehl"/>
          <w:rtl/>
        </w:rPr>
        <w:tab/>
      </w:r>
      <w:r>
        <w:rPr>
          <w:rStyle w:val="default"/>
          <w:rFonts w:cs="FrankRuehl" w:hint="cs"/>
          <w:rtl/>
        </w:rPr>
        <w:t>בתום כל שנה יוגש דו"ח שנתי הכולל השוואה של ביצוע תכנית החומש מול התכנון, בצירוף ניתוח ומסקנות, וכן עדכון ליתרת תקופתה של תכנית החומש.</w:t>
      </w:r>
    </w:p>
    <w:p w:rsidR="00F44C94" w:rsidRDefault="00F44C94">
      <w:pPr>
        <w:pStyle w:val="P00"/>
        <w:spacing w:before="72"/>
        <w:ind w:left="0" w:right="1134"/>
        <w:rPr>
          <w:rStyle w:val="default"/>
          <w:rFonts w:cs="FrankRuehl"/>
          <w:rtl/>
        </w:rPr>
      </w:pPr>
      <w:r>
        <w:rPr>
          <w:rStyle w:val="big-number"/>
          <w:rtl/>
        </w:rPr>
        <w:t>6.</w:t>
      </w:r>
      <w:r>
        <w:rPr>
          <w:rStyle w:val="big-number"/>
          <w:rtl/>
        </w:rPr>
        <w:tab/>
      </w:r>
      <w:r>
        <w:rPr>
          <w:rStyle w:val="default"/>
          <w:rFonts w:cs="FrankRuehl"/>
          <w:rtl/>
        </w:rPr>
        <w:t>ת</w:t>
      </w:r>
      <w:r>
        <w:rPr>
          <w:rStyle w:val="default"/>
          <w:rFonts w:cs="FrankRuehl" w:hint="cs"/>
          <w:rtl/>
        </w:rPr>
        <w:t>כנית עבודה שנתית</w:t>
      </w:r>
    </w:p>
    <w:p w:rsidR="00F44C94" w:rsidRDefault="00F44C94" w:rsidP="00AF5A7E">
      <w:pPr>
        <w:pStyle w:val="P02"/>
        <w:spacing w:before="72"/>
        <w:ind w:left="1021" w:right="1134"/>
        <w:rPr>
          <w:rStyle w:val="default"/>
          <w:rFonts w:cs="FrankRuehl"/>
          <w:rtl/>
        </w:rPr>
      </w:pPr>
      <w:r>
        <w:rPr>
          <w:rtl/>
        </w:rPr>
        <w:tab/>
      </w:r>
      <w:r>
        <w:rPr>
          <w:rStyle w:val="default"/>
          <w:rFonts w:cs="FrankRuehl"/>
          <w:rtl/>
        </w:rPr>
        <w:t>6.1</w:t>
      </w:r>
      <w:r>
        <w:rPr>
          <w:rStyle w:val="default"/>
          <w:rFonts w:cs="FrankRuehl"/>
          <w:rtl/>
        </w:rPr>
        <w:tab/>
      </w:r>
      <w:r>
        <w:rPr>
          <w:rStyle w:val="default"/>
          <w:rFonts w:cs="FrankRuehl" w:hint="cs"/>
          <w:rtl/>
        </w:rPr>
        <w:t>המנהל יגיש למפקח תכנית עבודה שנתית כפי שאישרה</w:t>
      </w:r>
      <w:r>
        <w:rPr>
          <w:rStyle w:val="default"/>
          <w:rFonts w:cs="FrankRuehl"/>
          <w:rtl/>
        </w:rPr>
        <w:t xml:space="preserve"> </w:t>
      </w:r>
      <w:r>
        <w:rPr>
          <w:rStyle w:val="default"/>
          <w:rFonts w:cs="FrankRuehl" w:hint="cs"/>
          <w:rtl/>
        </w:rPr>
        <w:t xml:space="preserve">המועצה </w:t>
      </w:r>
      <w:r>
        <w:rPr>
          <w:rStyle w:val="default"/>
          <w:rFonts w:cs="FrankRuehl"/>
          <w:rtl/>
        </w:rPr>
        <w:t>ש</w:t>
      </w:r>
      <w:r>
        <w:rPr>
          <w:rStyle w:val="default"/>
          <w:rFonts w:cs="FrankRuehl" w:hint="cs"/>
          <w:rtl/>
        </w:rPr>
        <w:t>תכלול, בין היתר, נושאים אלה:</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6.1.1</w:t>
      </w:r>
      <w:r>
        <w:rPr>
          <w:rStyle w:val="default"/>
          <w:rFonts w:cs="FrankRuehl"/>
          <w:rtl/>
        </w:rPr>
        <w:tab/>
      </w:r>
      <w:r>
        <w:rPr>
          <w:rStyle w:val="default"/>
          <w:rFonts w:cs="FrankRuehl" w:hint="cs"/>
          <w:rtl/>
        </w:rPr>
        <w:t>יעדי התכנית, מסגרת כללית של התקציב ואומדן הביקוש לשירותי דואר;</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6.1.2</w:t>
      </w:r>
      <w:r>
        <w:rPr>
          <w:rStyle w:val="default"/>
          <w:rFonts w:cs="FrankRuehl"/>
          <w:rtl/>
        </w:rPr>
        <w:tab/>
      </w:r>
      <w:r>
        <w:rPr>
          <w:rStyle w:val="default"/>
          <w:rFonts w:cs="FrankRuehl" w:hint="cs"/>
          <w:rtl/>
        </w:rPr>
        <w:t>פיתוח מערכות הדואר ושירותי הדואר;</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6.1.3</w:t>
      </w:r>
      <w:r>
        <w:rPr>
          <w:rStyle w:val="default"/>
          <w:rFonts w:cs="FrankRuehl"/>
          <w:rtl/>
        </w:rPr>
        <w:tab/>
      </w:r>
      <w:r>
        <w:rPr>
          <w:rStyle w:val="default"/>
          <w:rFonts w:cs="FrankRuehl" w:hint="cs"/>
          <w:rtl/>
        </w:rPr>
        <w:t>האמצעים המתוכננים לשיפור איכות השירות;</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6.1.4</w:t>
      </w:r>
      <w:r>
        <w:rPr>
          <w:rStyle w:val="default"/>
          <w:rFonts w:cs="FrankRuehl"/>
          <w:rtl/>
        </w:rPr>
        <w:tab/>
      </w:r>
      <w:r>
        <w:rPr>
          <w:rStyle w:val="default"/>
          <w:rFonts w:cs="FrankRuehl" w:hint="cs"/>
          <w:rtl/>
        </w:rPr>
        <w:t>פעילות בתחום שיווק שירותי הדואר;</w:t>
      </w:r>
    </w:p>
    <w:p w:rsidR="00F44C94" w:rsidRDefault="00F44C94">
      <w:pPr>
        <w:pStyle w:val="P03"/>
        <w:spacing w:before="72"/>
        <w:ind w:left="1474" w:right="1134"/>
        <w:rPr>
          <w:rStyle w:val="default"/>
          <w:rFonts w:cs="FrankRuehl"/>
          <w:rtl/>
        </w:rPr>
      </w:pPr>
      <w:r>
        <w:rPr>
          <w:rtl/>
        </w:rPr>
        <w:tab/>
      </w:r>
      <w:r>
        <w:rPr>
          <w:rtl/>
        </w:rPr>
        <w:tab/>
      </w:r>
      <w:r>
        <w:rPr>
          <w:rStyle w:val="default"/>
          <w:rFonts w:cs="FrankRuehl"/>
          <w:rtl/>
        </w:rPr>
        <w:t>6.1.5</w:t>
      </w:r>
      <w:r>
        <w:rPr>
          <w:rStyle w:val="default"/>
          <w:rFonts w:cs="FrankRuehl"/>
          <w:rtl/>
        </w:rPr>
        <w:tab/>
      </w:r>
      <w:r>
        <w:rPr>
          <w:rStyle w:val="default"/>
          <w:rFonts w:cs="FrankRuehl" w:hint="cs"/>
          <w:rtl/>
        </w:rPr>
        <w:t>שינויים צפויים במ</w:t>
      </w:r>
      <w:r>
        <w:rPr>
          <w:rStyle w:val="default"/>
          <w:rFonts w:cs="FrankRuehl"/>
          <w:rtl/>
        </w:rPr>
        <w:t>ע</w:t>
      </w:r>
      <w:r>
        <w:rPr>
          <w:rStyle w:val="default"/>
          <w:rFonts w:cs="FrankRuehl" w:hint="cs"/>
          <w:rtl/>
        </w:rPr>
        <w:t>רך כוח-האדם ובהיקף כוח-אדם מקצועי.</w:t>
      </w:r>
    </w:p>
    <w:p w:rsidR="00F44C94" w:rsidRDefault="00F44C94">
      <w:pPr>
        <w:pStyle w:val="P02"/>
        <w:spacing w:before="72"/>
        <w:ind w:left="1021" w:right="1134"/>
        <w:rPr>
          <w:rStyle w:val="default"/>
          <w:rFonts w:cs="FrankRuehl"/>
          <w:rtl/>
        </w:rPr>
      </w:pPr>
      <w:r>
        <w:rPr>
          <w:rtl/>
        </w:rPr>
        <w:tab/>
      </w:r>
      <w:r>
        <w:rPr>
          <w:rStyle w:val="default"/>
          <w:rFonts w:cs="FrankRuehl"/>
          <w:rtl/>
        </w:rPr>
        <w:t>6.2</w:t>
      </w:r>
      <w:r>
        <w:rPr>
          <w:rStyle w:val="default"/>
          <w:rFonts w:cs="FrankRuehl"/>
          <w:rtl/>
        </w:rPr>
        <w:tab/>
      </w:r>
      <w:r>
        <w:rPr>
          <w:rStyle w:val="default"/>
          <w:rFonts w:cs="FrankRuehl" w:hint="cs"/>
          <w:rtl/>
        </w:rPr>
        <w:t>תכנית העבודה השנתית תוגש לא יאוחר מחודש לפני תחילת כל שנה.</w:t>
      </w:r>
    </w:p>
    <w:p w:rsidR="00F44C94" w:rsidRDefault="00F44C94">
      <w:pPr>
        <w:pStyle w:val="P02"/>
        <w:spacing w:before="72"/>
        <w:ind w:left="1021" w:right="1134"/>
        <w:rPr>
          <w:rStyle w:val="default"/>
          <w:rFonts w:cs="FrankRuehl"/>
          <w:rtl/>
        </w:rPr>
      </w:pPr>
      <w:r>
        <w:rPr>
          <w:rtl/>
        </w:rPr>
        <w:tab/>
      </w:r>
      <w:r>
        <w:rPr>
          <w:rStyle w:val="default"/>
          <w:rFonts w:cs="FrankRuehl"/>
          <w:rtl/>
        </w:rPr>
        <w:t>6.3</w:t>
      </w:r>
      <w:r>
        <w:rPr>
          <w:rStyle w:val="default"/>
          <w:rFonts w:cs="FrankRuehl"/>
          <w:rtl/>
        </w:rPr>
        <w:tab/>
      </w:r>
      <w:r>
        <w:rPr>
          <w:rStyle w:val="default"/>
          <w:rFonts w:cs="FrankRuehl" w:hint="cs"/>
          <w:rtl/>
        </w:rPr>
        <w:t>תוך חודשיים מתום התקופה של כל תכנית עבודה שנתית יוגש דו"ח הכולל השוואה של ביצוע התכנית מול התכנון, לפי הנושאים הכלולים בתכנית, בצירוף סקירת אירועים מיו</w:t>
      </w:r>
      <w:r>
        <w:rPr>
          <w:rStyle w:val="default"/>
          <w:rFonts w:cs="FrankRuehl"/>
          <w:rtl/>
        </w:rPr>
        <w:t>ח</w:t>
      </w:r>
      <w:r>
        <w:rPr>
          <w:rStyle w:val="default"/>
          <w:rFonts w:cs="FrankRuehl" w:hint="cs"/>
          <w:rtl/>
        </w:rPr>
        <w:t>דים, ניתוח ומסקנות.</w:t>
      </w:r>
    </w:p>
    <w:p w:rsidR="00F44C94" w:rsidRPr="00AF5A7E" w:rsidRDefault="00F44C94">
      <w:pPr>
        <w:pStyle w:val="medium2-header"/>
        <w:keepLines w:val="0"/>
        <w:spacing w:before="72"/>
        <w:ind w:left="0" w:right="1134"/>
        <w:rPr>
          <w:noProof/>
          <w:sz w:val="22"/>
          <w:szCs w:val="22"/>
          <w:rtl/>
        </w:rPr>
      </w:pPr>
      <w:bookmarkStart w:id="20" w:name="med8"/>
      <w:bookmarkEnd w:id="20"/>
      <w:r w:rsidRPr="00AF5A7E">
        <w:rPr>
          <w:noProof/>
          <w:sz w:val="22"/>
          <w:szCs w:val="22"/>
          <w:rtl/>
        </w:rPr>
        <w:t>ח</w:t>
      </w:r>
      <w:r w:rsidRPr="00AF5A7E">
        <w:rPr>
          <w:rFonts w:hint="cs"/>
          <w:noProof/>
          <w:sz w:val="22"/>
          <w:szCs w:val="22"/>
          <w:rtl/>
        </w:rPr>
        <w:t>לק ד': שונות</w:t>
      </w:r>
    </w:p>
    <w:p w:rsidR="00F44C94" w:rsidRDefault="00F44C94">
      <w:pPr>
        <w:pStyle w:val="P01"/>
        <w:spacing w:before="72"/>
        <w:ind w:left="624" w:right="1134"/>
        <w:rPr>
          <w:rStyle w:val="default"/>
          <w:rFonts w:cs="FrankRuehl"/>
          <w:rtl/>
        </w:rPr>
      </w:pPr>
      <w:r>
        <w:rPr>
          <w:rStyle w:val="big-number"/>
          <w:rtl/>
        </w:rPr>
        <w:t>7.</w:t>
      </w:r>
      <w:r>
        <w:rPr>
          <w:rStyle w:val="big-number"/>
          <w:rtl/>
        </w:rPr>
        <w:tab/>
      </w:r>
      <w:r>
        <w:rPr>
          <w:rStyle w:val="default"/>
          <w:rFonts w:cs="FrankRuehl"/>
          <w:rtl/>
        </w:rPr>
        <w:t>ה</w:t>
      </w:r>
      <w:r>
        <w:rPr>
          <w:rStyle w:val="default"/>
          <w:rFonts w:cs="FrankRuehl" w:hint="cs"/>
          <w:rtl/>
        </w:rPr>
        <w:t>רשות תגיש למפקח עותק של הדו"ח השנתי לפי סעיף 41 לחוק בסמוך לאחר שאישרה אותו המועצה.</w:t>
      </w:r>
    </w:p>
    <w:p w:rsidR="00F44C94" w:rsidRDefault="00F44C94">
      <w:pPr>
        <w:pStyle w:val="P01"/>
        <w:spacing w:before="72"/>
        <w:ind w:left="624" w:right="1134"/>
        <w:rPr>
          <w:rStyle w:val="default"/>
          <w:rFonts w:cs="FrankRuehl"/>
          <w:rtl/>
        </w:rPr>
      </w:pPr>
      <w:r>
        <w:rPr>
          <w:rStyle w:val="big-number"/>
          <w:rtl/>
        </w:rPr>
        <w:t>8.</w:t>
      </w:r>
      <w:r>
        <w:rPr>
          <w:rStyle w:val="big-number"/>
          <w:rtl/>
        </w:rPr>
        <w:tab/>
      </w:r>
      <w:r>
        <w:rPr>
          <w:rStyle w:val="default"/>
          <w:rFonts w:cs="FrankRuehl"/>
          <w:rtl/>
        </w:rPr>
        <w:t>ה</w:t>
      </w:r>
      <w:r>
        <w:rPr>
          <w:rStyle w:val="default"/>
          <w:rFonts w:cs="FrankRuehl" w:hint="cs"/>
          <w:rtl/>
        </w:rPr>
        <w:t>רשות תגיש למפקח דו"ח שנתי בנושא השירותים הבין-לאומיים שיכלול מידע בדבר שירותים חדשים או שינויים בשירותי</w:t>
      </w:r>
      <w:r>
        <w:rPr>
          <w:rStyle w:val="default"/>
          <w:rFonts w:cs="FrankRuehl"/>
          <w:rtl/>
        </w:rPr>
        <w:t>ם</w:t>
      </w:r>
      <w:r>
        <w:rPr>
          <w:rStyle w:val="default"/>
          <w:rFonts w:cs="FrankRuehl" w:hint="cs"/>
          <w:rtl/>
        </w:rPr>
        <w:t xml:space="preserve"> קיימים עם מדינות חוץ, לענין קשרי דואר.</w:t>
      </w:r>
    </w:p>
    <w:p w:rsidR="00F44C94" w:rsidRDefault="00F44C94">
      <w:pPr>
        <w:pStyle w:val="P01"/>
        <w:spacing w:before="72"/>
        <w:ind w:left="624" w:right="1134"/>
        <w:rPr>
          <w:rStyle w:val="default"/>
          <w:rFonts w:cs="FrankRuehl"/>
          <w:rtl/>
        </w:rPr>
      </w:pPr>
      <w:r>
        <w:rPr>
          <w:rStyle w:val="big-number"/>
          <w:rtl/>
        </w:rPr>
        <w:t>9.</w:t>
      </w:r>
      <w:r>
        <w:rPr>
          <w:rStyle w:val="big-number"/>
          <w:rtl/>
        </w:rPr>
        <w:tab/>
      </w:r>
      <w:r>
        <w:rPr>
          <w:rStyle w:val="default"/>
          <w:rFonts w:cs="FrankRuehl"/>
          <w:rtl/>
        </w:rPr>
        <w:t>ה</w:t>
      </w:r>
      <w:r>
        <w:rPr>
          <w:rStyle w:val="default"/>
          <w:rFonts w:cs="FrankRuehl" w:hint="cs"/>
          <w:rtl/>
        </w:rPr>
        <w:t>רשות תגיש למפקח עותק של כל ההודעות המופצות לציבור ועדכונים למדריך הדואר בסמוך לאחר פרסומם.</w:t>
      </w:r>
    </w:p>
    <w:p w:rsidR="00F44C94" w:rsidRDefault="00F44C94">
      <w:pPr>
        <w:pStyle w:val="P01"/>
        <w:spacing w:before="72"/>
        <w:ind w:left="624" w:right="1134"/>
        <w:rPr>
          <w:rStyle w:val="default"/>
          <w:rFonts w:cs="FrankRuehl"/>
          <w:rtl/>
        </w:rPr>
      </w:pPr>
      <w:r>
        <w:rPr>
          <w:rStyle w:val="big-number"/>
          <w:rtl/>
        </w:rPr>
        <w:t>10.</w:t>
      </w:r>
      <w:r>
        <w:rPr>
          <w:rStyle w:val="big-number"/>
          <w:rtl/>
        </w:rPr>
        <w:tab/>
      </w:r>
      <w:r>
        <w:rPr>
          <w:rStyle w:val="default"/>
          <w:rFonts w:cs="FrankRuehl"/>
          <w:rtl/>
        </w:rPr>
        <w:t>ה</w:t>
      </w:r>
      <w:r>
        <w:rPr>
          <w:rStyle w:val="default"/>
          <w:rFonts w:cs="FrankRuehl" w:hint="cs"/>
          <w:rtl/>
        </w:rPr>
        <w:t>רשות תגיש למפקח שנתון סטטיסטי על פעילותה של הרשות, בסמוך לאחר פרסומו.</w:t>
      </w:r>
    </w:p>
    <w:p w:rsidR="00F44C94" w:rsidRDefault="00F44C94" w:rsidP="00AF5A7E">
      <w:pPr>
        <w:pStyle w:val="P00"/>
        <w:spacing w:before="72"/>
        <w:ind w:left="0" w:right="1134"/>
        <w:rPr>
          <w:rStyle w:val="default"/>
          <w:rFonts w:cs="FrankRuehl" w:hint="cs"/>
          <w:rtl/>
        </w:rPr>
      </w:pPr>
    </w:p>
    <w:p w:rsidR="00AF5A7E" w:rsidRDefault="00AF5A7E" w:rsidP="00AF5A7E">
      <w:pPr>
        <w:pStyle w:val="P00"/>
        <w:spacing w:before="72"/>
        <w:ind w:left="0" w:right="1134"/>
        <w:rPr>
          <w:rStyle w:val="default"/>
          <w:rFonts w:cs="FrankRuehl" w:hint="cs"/>
          <w:rtl/>
        </w:rPr>
      </w:pPr>
    </w:p>
    <w:p w:rsidR="00F44C94" w:rsidRDefault="00F44C94">
      <w:pPr>
        <w:pStyle w:val="sig-0"/>
        <w:ind w:left="0" w:right="1134"/>
        <w:rPr>
          <w:rtl/>
        </w:rPr>
      </w:pPr>
      <w:r>
        <w:rPr>
          <w:rtl/>
        </w:rPr>
        <w:t>י</w:t>
      </w:r>
      <w:r>
        <w:rPr>
          <w:rFonts w:hint="cs"/>
          <w:rtl/>
        </w:rPr>
        <w:t>"ג באדר ב' תשנ"ה (15 במרס 1995)</w:t>
      </w:r>
      <w:r>
        <w:rPr>
          <w:rtl/>
        </w:rPr>
        <w:tab/>
      </w:r>
      <w:r>
        <w:rPr>
          <w:rFonts w:hint="cs"/>
          <w:rtl/>
        </w:rPr>
        <w:t>שולמית אלונ</w:t>
      </w:r>
      <w:r>
        <w:rPr>
          <w:rtl/>
        </w:rPr>
        <w:t>י</w:t>
      </w:r>
    </w:p>
    <w:p w:rsidR="00F44C94" w:rsidRDefault="00F44C94">
      <w:pPr>
        <w:pStyle w:val="sig-1"/>
        <w:widowControl/>
        <w:ind w:left="0" w:right="1134"/>
        <w:rPr>
          <w:rFonts w:hint="cs"/>
          <w:rtl/>
        </w:rPr>
      </w:pPr>
      <w:r>
        <w:rPr>
          <w:rtl/>
        </w:rPr>
        <w:tab/>
      </w:r>
      <w:r>
        <w:rPr>
          <w:rtl/>
        </w:rPr>
        <w:tab/>
      </w:r>
      <w:r>
        <w:rPr>
          <w:rtl/>
        </w:rPr>
        <w:tab/>
      </w:r>
      <w:r>
        <w:rPr>
          <w:rFonts w:hint="cs"/>
          <w:rtl/>
        </w:rPr>
        <w:t>שרת התקשורת</w:t>
      </w:r>
    </w:p>
    <w:p w:rsidR="00AF5A7E" w:rsidRPr="00AF5A7E" w:rsidRDefault="00AF5A7E" w:rsidP="00AF5A7E">
      <w:pPr>
        <w:pStyle w:val="P00"/>
        <w:spacing w:before="72"/>
        <w:ind w:left="0" w:right="1134"/>
        <w:rPr>
          <w:rStyle w:val="default"/>
          <w:rFonts w:cs="FrankRuehl" w:hint="cs"/>
          <w:rtl/>
        </w:rPr>
      </w:pPr>
    </w:p>
    <w:p w:rsidR="00AF5A7E" w:rsidRPr="00AF5A7E" w:rsidRDefault="00AF5A7E" w:rsidP="00AF5A7E">
      <w:pPr>
        <w:pStyle w:val="P00"/>
        <w:spacing w:before="72"/>
        <w:ind w:left="0" w:right="1134"/>
        <w:rPr>
          <w:rStyle w:val="default"/>
          <w:rFonts w:cs="FrankRuehl"/>
          <w:rtl/>
        </w:rPr>
      </w:pPr>
    </w:p>
    <w:p w:rsidR="00F44C94" w:rsidRPr="00AF5A7E" w:rsidRDefault="00F44C94" w:rsidP="00AF5A7E">
      <w:pPr>
        <w:pStyle w:val="P00"/>
        <w:spacing w:before="72"/>
        <w:ind w:left="0" w:right="1134"/>
        <w:rPr>
          <w:rStyle w:val="default"/>
          <w:rFonts w:cs="FrankRuehl"/>
          <w:rtl/>
        </w:rPr>
      </w:pPr>
      <w:bookmarkStart w:id="21" w:name="LawPartEnd"/>
    </w:p>
    <w:bookmarkEnd w:id="21"/>
    <w:p w:rsidR="004064DD" w:rsidRDefault="004064DD" w:rsidP="00AF5A7E">
      <w:pPr>
        <w:pStyle w:val="P00"/>
        <w:spacing w:before="72"/>
        <w:ind w:left="0" w:right="1134"/>
        <w:rPr>
          <w:rStyle w:val="default"/>
          <w:rFonts w:cs="FrankRuehl"/>
          <w:rtl/>
        </w:rPr>
      </w:pPr>
    </w:p>
    <w:p w:rsidR="00242615" w:rsidRDefault="00242615" w:rsidP="00242615">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F44C94" w:rsidRPr="00242615" w:rsidRDefault="00F44C94" w:rsidP="00242615">
      <w:pPr>
        <w:pStyle w:val="P00"/>
        <w:spacing w:before="72"/>
        <w:ind w:left="0" w:right="1134"/>
        <w:jc w:val="center"/>
        <w:rPr>
          <w:rStyle w:val="default"/>
          <w:rFonts w:cs="David"/>
          <w:color w:val="0000FF"/>
          <w:szCs w:val="24"/>
          <w:u w:val="single"/>
          <w:rtl/>
        </w:rPr>
      </w:pPr>
    </w:p>
    <w:sectPr w:rsidR="00F44C94" w:rsidRPr="0024261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66E6" w:rsidRDefault="007966E6">
      <w:r>
        <w:separator/>
      </w:r>
    </w:p>
  </w:endnote>
  <w:endnote w:type="continuationSeparator" w:id="0">
    <w:p w:rsidR="007966E6" w:rsidRDefault="00796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C94" w:rsidRDefault="00F44C9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44C94" w:rsidRDefault="00F44C9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44C94" w:rsidRDefault="00F44C9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2615">
      <w:rPr>
        <w:rFonts w:cs="TopType Jerushalmi"/>
        <w:noProof/>
        <w:color w:val="000000"/>
        <w:sz w:val="14"/>
        <w:szCs w:val="14"/>
      </w:rPr>
      <w:t>Z:\00000000000000000000000=2014------------------------\05-May\2014-05-28\LawsForHofit\01\050_039.doc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C94" w:rsidRDefault="00F44C9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72C9D">
      <w:rPr>
        <w:rFonts w:hAnsi="FrankRuehl" w:cs="FrankRuehl"/>
        <w:noProof/>
        <w:sz w:val="24"/>
        <w:szCs w:val="24"/>
        <w:rtl/>
      </w:rPr>
      <w:t>5</w:t>
    </w:r>
    <w:r>
      <w:rPr>
        <w:rFonts w:hAnsi="FrankRuehl" w:cs="FrankRuehl"/>
        <w:sz w:val="24"/>
        <w:szCs w:val="24"/>
        <w:rtl/>
      </w:rPr>
      <w:fldChar w:fldCharType="end"/>
    </w:r>
  </w:p>
  <w:p w:rsidR="00F44C94" w:rsidRDefault="00F44C9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44C94" w:rsidRDefault="00F44C9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2615">
      <w:rPr>
        <w:rFonts w:cs="TopType Jerushalmi"/>
        <w:noProof/>
        <w:color w:val="000000"/>
        <w:sz w:val="14"/>
        <w:szCs w:val="14"/>
      </w:rPr>
      <w:t>Z:\00000000000000000000000=2014------------------------\05-May\2014-05-28\LawsForHofit\01\050_039.doc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66E6" w:rsidRDefault="007966E6" w:rsidP="00AF5A7E">
      <w:pPr>
        <w:spacing w:before="60" w:line="240" w:lineRule="auto"/>
        <w:ind w:right="1134"/>
      </w:pPr>
      <w:r>
        <w:separator/>
      </w:r>
    </w:p>
  </w:footnote>
  <w:footnote w:type="continuationSeparator" w:id="0">
    <w:p w:rsidR="007966E6" w:rsidRDefault="007966E6">
      <w:r>
        <w:continuationSeparator/>
      </w:r>
    </w:p>
  </w:footnote>
  <w:footnote w:id="1">
    <w:p w:rsidR="00AF5A7E" w:rsidRPr="00AF5A7E" w:rsidRDefault="00AF5A7E" w:rsidP="00AF5A7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AF5A7E">
        <w:rPr>
          <w:sz w:val="20"/>
          <w:rtl/>
        </w:rPr>
        <w:t xml:space="preserve">* </w:t>
      </w:r>
      <w:r>
        <w:rPr>
          <w:sz w:val="20"/>
          <w:rtl/>
        </w:rPr>
        <w:t>פו</w:t>
      </w:r>
      <w:r>
        <w:rPr>
          <w:rFonts w:hint="cs"/>
          <w:sz w:val="20"/>
          <w:rtl/>
        </w:rPr>
        <w:t xml:space="preserve">רסמו </w:t>
      </w:r>
      <w:hyperlink r:id="rId1" w:history="1">
        <w:r w:rsidRPr="00D337EE">
          <w:rPr>
            <w:rStyle w:val="Hyperlink"/>
            <w:rFonts w:hint="cs"/>
            <w:sz w:val="20"/>
            <w:rtl/>
          </w:rPr>
          <w:t>ק"ת תשנ"ה מס' 5677</w:t>
        </w:r>
      </w:hyperlink>
      <w:r>
        <w:rPr>
          <w:rFonts w:hint="cs"/>
          <w:sz w:val="20"/>
          <w:rtl/>
        </w:rPr>
        <w:t xml:space="preserve"> מיום 25.4.1995 עמ' 1380.</w:t>
      </w:r>
    </w:p>
  </w:footnote>
  <w:footnote w:id="2">
    <w:p w:rsidR="00D72C9D" w:rsidRDefault="00D72C9D" w:rsidP="00D72C9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D72C9D">
        <w:rPr>
          <w:rtl/>
        </w:rPr>
        <w:t xml:space="preserve"> </w:t>
      </w:r>
      <w:r w:rsidRPr="00D72C9D">
        <w:rPr>
          <w:rFonts w:hint="cs"/>
          <w:rtl/>
        </w:rPr>
        <w:t xml:space="preserve">הסמכה </w:t>
      </w:r>
      <w:hyperlink r:id="rId2" w:history="1">
        <w:r w:rsidRPr="00D72C9D">
          <w:rPr>
            <w:rStyle w:val="Hyperlink"/>
            <w:rFonts w:hint="cs"/>
            <w:rtl/>
          </w:rPr>
          <w:t>י"פ תשע"ח מס' 7683</w:t>
        </w:r>
      </w:hyperlink>
      <w:r w:rsidRPr="00D72C9D">
        <w:rPr>
          <w:rFonts w:hint="cs"/>
          <w:rtl/>
        </w:rPr>
        <w:t xml:space="preserve"> </w:t>
      </w:r>
      <w:r w:rsidRPr="00D72C9D">
        <w:rPr>
          <w:rFonts w:hint="cs"/>
          <w:sz w:val="20"/>
          <w:rtl/>
        </w:rPr>
        <w:t>מיום</w:t>
      </w:r>
      <w:r w:rsidRPr="00D72C9D">
        <w:rPr>
          <w:rFonts w:hint="cs"/>
          <w:rtl/>
        </w:rPr>
        <w:t xml:space="preserve"> 24.1.2018 עמ' 4549.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C94" w:rsidRDefault="00F44C9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רשות הדואר (הפיקוח על פעולותיה של הרשות), תשנ"ה–1995</w:t>
    </w:r>
  </w:p>
  <w:p w:rsidR="00F44C94" w:rsidRDefault="00F44C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44C94" w:rsidRDefault="00F44C9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C94" w:rsidRDefault="00F44C94" w:rsidP="00AF5A7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רשות הדואר (הפיקוח על פעולותיה של הרשות), תשנ"ה</w:t>
    </w:r>
    <w:r w:rsidR="00AF5A7E">
      <w:rPr>
        <w:rFonts w:hAnsi="FrankRuehl" w:cs="FrankRuehl" w:hint="cs"/>
        <w:color w:val="000000"/>
        <w:sz w:val="28"/>
        <w:szCs w:val="28"/>
        <w:rtl/>
      </w:rPr>
      <w:t>-</w:t>
    </w:r>
    <w:r>
      <w:rPr>
        <w:rFonts w:hAnsi="FrankRuehl" w:cs="FrankRuehl"/>
        <w:color w:val="000000"/>
        <w:sz w:val="28"/>
        <w:szCs w:val="28"/>
        <w:rtl/>
      </w:rPr>
      <w:t>1995</w:t>
    </w:r>
  </w:p>
  <w:p w:rsidR="00F44C94" w:rsidRDefault="00F44C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44C94" w:rsidRDefault="00F44C9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37EE"/>
    <w:rsid w:val="001C73A6"/>
    <w:rsid w:val="001D499B"/>
    <w:rsid w:val="00242615"/>
    <w:rsid w:val="002772C6"/>
    <w:rsid w:val="00363AC1"/>
    <w:rsid w:val="004064DD"/>
    <w:rsid w:val="004266ED"/>
    <w:rsid w:val="005473FA"/>
    <w:rsid w:val="007769F6"/>
    <w:rsid w:val="007966E6"/>
    <w:rsid w:val="009C0271"/>
    <w:rsid w:val="00AF4A60"/>
    <w:rsid w:val="00AF5A7E"/>
    <w:rsid w:val="00D337EE"/>
    <w:rsid w:val="00D72C9D"/>
    <w:rsid w:val="00D949DA"/>
    <w:rsid w:val="00D97154"/>
    <w:rsid w:val="00EF174F"/>
    <w:rsid w:val="00EF2FD1"/>
    <w:rsid w:val="00F44C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13E90AF-BA5B-41A1-B7DA-C711BC05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AF5A7E"/>
    <w:rPr>
      <w:sz w:val="20"/>
      <w:szCs w:val="20"/>
    </w:rPr>
  </w:style>
  <w:style w:type="character" w:styleId="a6">
    <w:name w:val="footnote reference"/>
    <w:semiHidden/>
    <w:rsid w:val="00AF5A7E"/>
    <w:rPr>
      <w:vertAlign w:val="superscript"/>
    </w:rPr>
  </w:style>
  <w:style w:type="character" w:styleId="a7">
    <w:name w:val="Unresolved Mention"/>
    <w:uiPriority w:val="99"/>
    <w:semiHidden/>
    <w:unhideWhenUsed/>
    <w:rsid w:val="00D72C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0/yalkut-7683.pdf" TargetMode="External"/><Relationship Id="rId1" Type="http://schemas.openxmlformats.org/officeDocument/2006/relationships/hyperlink" Target="http://www.nevo.co.il/Law_word/law06/TAK-56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2049-6C82-4983-84A4-48C7B887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10531</CharactersWithSpaces>
  <SharedDoc>false</SharedDoc>
  <HLinks>
    <vt:vector size="144" baseType="variant">
      <vt:variant>
        <vt:i4>393283</vt:i4>
      </vt:variant>
      <vt:variant>
        <vt:i4>126</vt:i4>
      </vt:variant>
      <vt:variant>
        <vt:i4>0</vt:i4>
      </vt:variant>
      <vt:variant>
        <vt:i4>5</vt:i4>
      </vt:variant>
      <vt:variant>
        <vt:lpwstr>http://www.nevo.co.il/advertisements/nevo-100.doc</vt:lpwstr>
      </vt:variant>
      <vt:variant>
        <vt:lpwstr/>
      </vt:variant>
      <vt:variant>
        <vt:i4>6094857</vt:i4>
      </vt:variant>
      <vt:variant>
        <vt:i4>120</vt:i4>
      </vt:variant>
      <vt:variant>
        <vt:i4>0</vt:i4>
      </vt:variant>
      <vt:variant>
        <vt:i4>5</vt:i4>
      </vt:variant>
      <vt:variant>
        <vt:lpwstr/>
      </vt:variant>
      <vt:variant>
        <vt:lpwstr>med8</vt:lpwstr>
      </vt:variant>
      <vt:variant>
        <vt:i4>5373961</vt:i4>
      </vt:variant>
      <vt:variant>
        <vt:i4>114</vt:i4>
      </vt:variant>
      <vt:variant>
        <vt:i4>0</vt:i4>
      </vt:variant>
      <vt:variant>
        <vt:i4>5</vt:i4>
      </vt:variant>
      <vt:variant>
        <vt:lpwstr/>
      </vt:variant>
      <vt:variant>
        <vt:lpwstr>med7</vt:lpwstr>
      </vt:variant>
      <vt:variant>
        <vt:i4>5439497</vt:i4>
      </vt:variant>
      <vt:variant>
        <vt:i4>108</vt:i4>
      </vt:variant>
      <vt:variant>
        <vt:i4>0</vt:i4>
      </vt:variant>
      <vt:variant>
        <vt:i4>5</vt:i4>
      </vt:variant>
      <vt:variant>
        <vt:lpwstr/>
      </vt:variant>
      <vt:variant>
        <vt:lpwstr>med6</vt:lpwstr>
      </vt:variant>
      <vt:variant>
        <vt:i4>5242889</vt:i4>
      </vt:variant>
      <vt:variant>
        <vt:i4>102</vt:i4>
      </vt:variant>
      <vt:variant>
        <vt:i4>0</vt:i4>
      </vt:variant>
      <vt:variant>
        <vt:i4>5</vt:i4>
      </vt:variant>
      <vt:variant>
        <vt:lpwstr/>
      </vt:variant>
      <vt:variant>
        <vt:lpwstr>med5</vt:lpwstr>
      </vt:variant>
      <vt:variant>
        <vt:i4>5308425</vt:i4>
      </vt:variant>
      <vt:variant>
        <vt:i4>96</vt:i4>
      </vt:variant>
      <vt:variant>
        <vt:i4>0</vt:i4>
      </vt:variant>
      <vt:variant>
        <vt:i4>5</vt:i4>
      </vt:variant>
      <vt:variant>
        <vt:lpwstr/>
      </vt:variant>
      <vt:variant>
        <vt:lpwstr>med4</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7602190</vt:i4>
      </vt:variant>
      <vt:variant>
        <vt:i4>3</vt:i4>
      </vt:variant>
      <vt:variant>
        <vt:i4>0</vt:i4>
      </vt:variant>
      <vt:variant>
        <vt:i4>5</vt:i4>
      </vt:variant>
      <vt:variant>
        <vt:lpwstr>http://www.nevo.co.il/Law_word/law10/yalkut-7683.pdf</vt:lpwstr>
      </vt:variant>
      <vt:variant>
        <vt:lpwstr/>
      </vt:variant>
      <vt:variant>
        <vt:i4>8060937</vt:i4>
      </vt:variant>
      <vt:variant>
        <vt:i4>0</vt:i4>
      </vt:variant>
      <vt:variant>
        <vt:i4>0</vt:i4>
      </vt:variant>
      <vt:variant>
        <vt:i4>5</vt:i4>
      </vt:variant>
      <vt:variant>
        <vt:lpwstr>http://www.nevo.co.il/Law_word/law06/TAK-5677.pdf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0050</vt:lpwstr>
  </property>
  <property fmtid="{D5CDD505-2E9C-101B-9397-08002B2CF9AE}" pid="3" name="CHNAME">
    <vt:lpwstr>בתי דואר</vt:lpwstr>
  </property>
  <property fmtid="{D5CDD505-2E9C-101B-9397-08002B2CF9AE}" pid="4" name="LAWNAME">
    <vt:lpwstr>תקנות רשות הדואר (הפיקוח על פעולותיה של הרשות), תשנ"ה-1995</vt:lpwstr>
  </property>
  <property fmtid="{D5CDD505-2E9C-101B-9397-08002B2CF9AE}" pid="5" name="LAWNUMBER">
    <vt:lpwstr>0039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תקשורת</vt:lpwstr>
  </property>
  <property fmtid="{D5CDD505-2E9C-101B-9397-08002B2CF9AE}" pid="9" name="NOSE31">
    <vt:lpwstr>דואר</vt:lpwstr>
  </property>
  <property fmtid="{D5CDD505-2E9C-101B-9397-08002B2CF9AE}" pid="10" name="NOSE41">
    <vt:lpwstr>חברת הדואר</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רשות הדואר</vt:lpwstr>
  </property>
  <property fmtid="{D5CDD505-2E9C-101B-9397-08002B2CF9AE}" pid="48" name="MEKOR_SAIF1">
    <vt:lpwstr>126XאX</vt:lpwstr>
  </property>
</Properties>
</file>