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0D301B" w:rsidP="00C16BF1">
      <w:pPr>
        <w:pStyle w:val="big-header"/>
        <w:ind w:left="0" w:right="1134"/>
        <w:rPr>
          <w:rFonts w:cs="FrankRuehl" w:hint="cs"/>
          <w:sz w:val="32"/>
          <w:rtl/>
        </w:rPr>
      </w:pPr>
      <w:r>
        <w:rPr>
          <w:rFonts w:cs="FrankRuehl" w:hint="cs"/>
          <w:sz w:val="32"/>
          <w:rtl/>
        </w:rPr>
        <w:t>תקנות רשות מקרקעי ישראל (קרן לשמירה על שטחים פתוחים)</w:t>
      </w:r>
      <w:r w:rsidR="000A51DD">
        <w:rPr>
          <w:rFonts w:cs="FrankRuehl" w:hint="cs"/>
          <w:sz w:val="32"/>
          <w:rtl/>
        </w:rPr>
        <w:t xml:space="preserve">, </w:t>
      </w:r>
      <w:r w:rsidR="006A0293">
        <w:rPr>
          <w:rFonts w:cs="FrankRuehl" w:hint="cs"/>
          <w:sz w:val="32"/>
          <w:rtl/>
        </w:rPr>
        <w:t>תשע</w:t>
      </w:r>
      <w:r w:rsidR="00FE583C">
        <w:rPr>
          <w:rFonts w:cs="FrankRuehl" w:hint="cs"/>
          <w:sz w:val="32"/>
          <w:rtl/>
        </w:rPr>
        <w:t>"</w:t>
      </w:r>
      <w:r w:rsidR="00C16BF1">
        <w:rPr>
          <w:rFonts w:cs="FrankRuehl" w:hint="cs"/>
          <w:sz w:val="32"/>
          <w:rtl/>
        </w:rPr>
        <w:t>ב-2012</w:t>
      </w:r>
    </w:p>
    <w:p w:rsidR="00BF7083" w:rsidRPr="00BF7083" w:rsidRDefault="00BF7083" w:rsidP="00BF7083">
      <w:pPr>
        <w:spacing w:line="320" w:lineRule="auto"/>
        <w:rPr>
          <w:rFonts w:cs="FrankRuehl"/>
          <w:szCs w:val="26"/>
          <w:rtl/>
        </w:rPr>
      </w:pPr>
    </w:p>
    <w:p w:rsidR="00BF7083" w:rsidRDefault="00BF7083" w:rsidP="00BF7083">
      <w:pPr>
        <w:spacing w:line="320" w:lineRule="auto"/>
        <w:rPr>
          <w:rtl/>
        </w:rPr>
      </w:pPr>
    </w:p>
    <w:p w:rsidR="00BF7083" w:rsidRDefault="00BF7083" w:rsidP="00BF7083">
      <w:pPr>
        <w:spacing w:line="320" w:lineRule="auto"/>
        <w:rPr>
          <w:rFonts w:cs="Miriam"/>
          <w:szCs w:val="22"/>
          <w:rtl/>
        </w:rPr>
      </w:pPr>
      <w:r w:rsidRPr="00BF7083">
        <w:rPr>
          <w:rFonts w:cs="Miriam"/>
          <w:szCs w:val="22"/>
          <w:rtl/>
        </w:rPr>
        <w:t>חקלאות טבע וסביבה</w:t>
      </w:r>
      <w:r w:rsidRPr="00BF7083">
        <w:rPr>
          <w:rFonts w:cs="FrankRuehl"/>
          <w:szCs w:val="26"/>
          <w:rtl/>
        </w:rPr>
        <w:t xml:space="preserve"> – הגנת הסביבה</w:t>
      </w:r>
    </w:p>
    <w:p w:rsidR="00BF7083" w:rsidRDefault="00BF7083" w:rsidP="00BF7083">
      <w:pPr>
        <w:spacing w:line="320" w:lineRule="auto"/>
        <w:rPr>
          <w:rFonts w:cs="Miriam"/>
          <w:szCs w:val="22"/>
          <w:rtl/>
        </w:rPr>
      </w:pPr>
      <w:r w:rsidRPr="00BF7083">
        <w:rPr>
          <w:rFonts w:cs="Miriam"/>
          <w:szCs w:val="22"/>
          <w:rtl/>
        </w:rPr>
        <w:t>משפט פרטי וכלכלה</w:t>
      </w:r>
      <w:r w:rsidRPr="00BF7083">
        <w:rPr>
          <w:rFonts w:cs="FrankRuehl"/>
          <w:szCs w:val="26"/>
          <w:rtl/>
        </w:rPr>
        <w:t xml:space="preserve"> – קניין – מקרקעין – מקרקעי ישראל</w:t>
      </w:r>
    </w:p>
    <w:p w:rsidR="000D301B" w:rsidRPr="00BF7083" w:rsidRDefault="00BF7083" w:rsidP="00BF7083">
      <w:pPr>
        <w:spacing w:line="320" w:lineRule="auto"/>
        <w:rPr>
          <w:rFonts w:cs="Miriam" w:hint="cs"/>
          <w:szCs w:val="22"/>
          <w:rtl/>
        </w:rPr>
      </w:pPr>
      <w:r w:rsidRPr="00BF7083">
        <w:rPr>
          <w:rFonts w:cs="Miriam"/>
          <w:szCs w:val="22"/>
          <w:rtl/>
        </w:rPr>
        <w:t>רשויות ומשפט מנהלי</w:t>
      </w:r>
      <w:r w:rsidRPr="00BF7083">
        <w:rPr>
          <w:rFonts w:cs="FrankRuehl"/>
          <w:szCs w:val="26"/>
          <w:rtl/>
        </w:rPr>
        <w:t xml:space="preserve"> – תכנון ובניה</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p>
        </w:tc>
        <w:tc>
          <w:tcPr>
            <w:tcW w:w="5669" w:type="dxa"/>
          </w:tcPr>
          <w:p w:rsidR="00651343" w:rsidRPr="00651343" w:rsidRDefault="00651343" w:rsidP="00651343">
            <w:pPr>
              <w:rPr>
                <w:rFonts w:cs="Frankruhel" w:hint="cs"/>
                <w:rtl/>
              </w:rPr>
            </w:pPr>
            <w:r>
              <w:rPr>
                <w:rtl/>
              </w:rPr>
              <w:t>פרק א': פרשנות</w:t>
            </w:r>
          </w:p>
        </w:tc>
        <w:tc>
          <w:tcPr>
            <w:tcW w:w="567" w:type="dxa"/>
          </w:tcPr>
          <w:p w:rsidR="00651343" w:rsidRPr="00651343" w:rsidRDefault="00651343" w:rsidP="00651343">
            <w:pPr>
              <w:rPr>
                <w:rStyle w:val="Hyperlink"/>
                <w:rFonts w:hint="cs"/>
                <w:rtl/>
              </w:rPr>
            </w:pPr>
            <w:hyperlink w:anchor="med0" w:tooltip="פרק א: פרשנות"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1 </w:t>
            </w:r>
          </w:p>
        </w:tc>
        <w:tc>
          <w:tcPr>
            <w:tcW w:w="5669" w:type="dxa"/>
          </w:tcPr>
          <w:p w:rsidR="00651343" w:rsidRPr="00651343" w:rsidRDefault="00651343" w:rsidP="00651343">
            <w:pPr>
              <w:rPr>
                <w:rFonts w:cs="Frankruhel" w:hint="cs"/>
                <w:rtl/>
              </w:rPr>
            </w:pPr>
            <w:r>
              <w:rPr>
                <w:rtl/>
              </w:rPr>
              <w:t>הגדרות</w:t>
            </w:r>
          </w:p>
        </w:tc>
        <w:tc>
          <w:tcPr>
            <w:tcW w:w="567" w:type="dxa"/>
          </w:tcPr>
          <w:p w:rsidR="00651343" w:rsidRPr="00651343" w:rsidRDefault="00651343" w:rsidP="00651343">
            <w:pPr>
              <w:rPr>
                <w:rStyle w:val="Hyperlink"/>
                <w:rFonts w:hint="cs"/>
                <w:rtl/>
              </w:rPr>
            </w:pPr>
            <w:hyperlink w:anchor="Seif1" w:tooltip="הגדרות"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p>
        </w:tc>
        <w:tc>
          <w:tcPr>
            <w:tcW w:w="5669" w:type="dxa"/>
          </w:tcPr>
          <w:p w:rsidR="00651343" w:rsidRPr="00651343" w:rsidRDefault="00651343" w:rsidP="00651343">
            <w:pPr>
              <w:rPr>
                <w:rFonts w:cs="Frankruhel" w:hint="cs"/>
                <w:rtl/>
              </w:rPr>
            </w:pPr>
            <w:r>
              <w:rPr>
                <w:rtl/>
              </w:rPr>
              <w:t>פרק ב': תפקידי הקרן</w:t>
            </w:r>
          </w:p>
        </w:tc>
        <w:tc>
          <w:tcPr>
            <w:tcW w:w="567" w:type="dxa"/>
          </w:tcPr>
          <w:p w:rsidR="00651343" w:rsidRPr="00651343" w:rsidRDefault="00651343" w:rsidP="00651343">
            <w:pPr>
              <w:rPr>
                <w:rStyle w:val="Hyperlink"/>
                <w:rFonts w:hint="cs"/>
                <w:rtl/>
              </w:rPr>
            </w:pPr>
            <w:hyperlink w:anchor="med1" w:tooltip="פרק ב: תפקידי הקרן"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2 </w:t>
            </w:r>
          </w:p>
        </w:tc>
        <w:tc>
          <w:tcPr>
            <w:tcW w:w="5669" w:type="dxa"/>
          </w:tcPr>
          <w:p w:rsidR="00651343" w:rsidRPr="00651343" w:rsidRDefault="00651343" w:rsidP="00651343">
            <w:pPr>
              <w:rPr>
                <w:rFonts w:cs="Frankruhel" w:hint="cs"/>
                <w:rtl/>
              </w:rPr>
            </w:pPr>
            <w:r>
              <w:rPr>
                <w:rtl/>
              </w:rPr>
              <w:t>תפקידי הקרן</w:t>
            </w:r>
          </w:p>
        </w:tc>
        <w:tc>
          <w:tcPr>
            <w:tcW w:w="567" w:type="dxa"/>
          </w:tcPr>
          <w:p w:rsidR="00651343" w:rsidRPr="00651343" w:rsidRDefault="00651343" w:rsidP="00651343">
            <w:pPr>
              <w:rPr>
                <w:rStyle w:val="Hyperlink"/>
                <w:rFonts w:hint="cs"/>
                <w:rtl/>
              </w:rPr>
            </w:pPr>
            <w:hyperlink w:anchor="Seif2" w:tooltip="תפקידי הקרן"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3 </w:t>
            </w:r>
          </w:p>
        </w:tc>
        <w:tc>
          <w:tcPr>
            <w:tcW w:w="5669" w:type="dxa"/>
          </w:tcPr>
          <w:p w:rsidR="00651343" w:rsidRPr="00651343" w:rsidRDefault="00651343" w:rsidP="00651343">
            <w:pPr>
              <w:rPr>
                <w:rFonts w:cs="Frankruhel" w:hint="cs"/>
                <w:rtl/>
              </w:rPr>
            </w:pPr>
            <w:r>
              <w:rPr>
                <w:rtl/>
              </w:rPr>
              <w:t>סדרי עדיפויות בפעילות הקרן</w:t>
            </w:r>
          </w:p>
        </w:tc>
        <w:tc>
          <w:tcPr>
            <w:tcW w:w="567" w:type="dxa"/>
          </w:tcPr>
          <w:p w:rsidR="00651343" w:rsidRPr="00651343" w:rsidRDefault="00651343" w:rsidP="00651343">
            <w:pPr>
              <w:rPr>
                <w:rStyle w:val="Hyperlink"/>
                <w:rFonts w:hint="cs"/>
                <w:rtl/>
              </w:rPr>
            </w:pPr>
            <w:hyperlink w:anchor="Seif3" w:tooltip="סדרי עדיפויות בפעילות הקרן"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p>
        </w:tc>
        <w:tc>
          <w:tcPr>
            <w:tcW w:w="5669" w:type="dxa"/>
          </w:tcPr>
          <w:p w:rsidR="00651343" w:rsidRPr="00651343" w:rsidRDefault="00651343" w:rsidP="00651343">
            <w:pPr>
              <w:rPr>
                <w:rFonts w:cs="Frankruhel" w:hint="cs"/>
                <w:rtl/>
              </w:rPr>
            </w:pPr>
            <w:r>
              <w:rPr>
                <w:rtl/>
              </w:rPr>
              <w:t>פרק ג': הנהלת הקרן</w:t>
            </w:r>
          </w:p>
        </w:tc>
        <w:tc>
          <w:tcPr>
            <w:tcW w:w="567" w:type="dxa"/>
          </w:tcPr>
          <w:p w:rsidR="00651343" w:rsidRPr="00651343" w:rsidRDefault="00651343" w:rsidP="00651343">
            <w:pPr>
              <w:rPr>
                <w:rStyle w:val="Hyperlink"/>
                <w:rFonts w:hint="cs"/>
                <w:rtl/>
              </w:rPr>
            </w:pPr>
            <w:hyperlink w:anchor="med2" w:tooltip="פרק ג: הנהלת הקרן"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4 </w:t>
            </w:r>
          </w:p>
        </w:tc>
        <w:tc>
          <w:tcPr>
            <w:tcW w:w="5669" w:type="dxa"/>
          </w:tcPr>
          <w:p w:rsidR="00651343" w:rsidRPr="00651343" w:rsidRDefault="00651343" w:rsidP="00651343">
            <w:pPr>
              <w:rPr>
                <w:rFonts w:cs="Frankruhel" w:hint="cs"/>
                <w:rtl/>
              </w:rPr>
            </w:pPr>
            <w:r>
              <w:rPr>
                <w:rtl/>
              </w:rPr>
              <w:t>הרכב הנהלת הקרן</w:t>
            </w:r>
          </w:p>
        </w:tc>
        <w:tc>
          <w:tcPr>
            <w:tcW w:w="567" w:type="dxa"/>
          </w:tcPr>
          <w:p w:rsidR="00651343" w:rsidRPr="00651343" w:rsidRDefault="00651343" w:rsidP="00651343">
            <w:pPr>
              <w:rPr>
                <w:rStyle w:val="Hyperlink"/>
                <w:rFonts w:hint="cs"/>
                <w:rtl/>
              </w:rPr>
            </w:pPr>
            <w:hyperlink w:anchor="Seif4" w:tooltip="הרכב הנהלת הקרן"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5 </w:t>
            </w:r>
          </w:p>
        </w:tc>
        <w:tc>
          <w:tcPr>
            <w:tcW w:w="5669" w:type="dxa"/>
          </w:tcPr>
          <w:p w:rsidR="00651343" w:rsidRPr="00651343" w:rsidRDefault="00651343" w:rsidP="00651343">
            <w:pPr>
              <w:rPr>
                <w:rFonts w:cs="Frankruhel" w:hint="cs"/>
                <w:rtl/>
              </w:rPr>
            </w:pPr>
            <w:r>
              <w:rPr>
                <w:rtl/>
              </w:rPr>
              <w:t>תקופת כהונה</w:t>
            </w:r>
          </w:p>
        </w:tc>
        <w:tc>
          <w:tcPr>
            <w:tcW w:w="567" w:type="dxa"/>
          </w:tcPr>
          <w:p w:rsidR="00651343" w:rsidRPr="00651343" w:rsidRDefault="00651343" w:rsidP="00651343">
            <w:pPr>
              <w:rPr>
                <w:rStyle w:val="Hyperlink"/>
                <w:rFonts w:hint="cs"/>
                <w:rtl/>
              </w:rPr>
            </w:pPr>
            <w:hyperlink w:anchor="Seif5" w:tooltip="תקופת כהונה"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6 </w:t>
            </w:r>
          </w:p>
        </w:tc>
        <w:tc>
          <w:tcPr>
            <w:tcW w:w="5669" w:type="dxa"/>
          </w:tcPr>
          <w:p w:rsidR="00651343" w:rsidRPr="00651343" w:rsidRDefault="00651343" w:rsidP="00651343">
            <w:pPr>
              <w:rPr>
                <w:rFonts w:cs="Frankruhel" w:hint="cs"/>
                <w:rtl/>
              </w:rPr>
            </w:pPr>
            <w:r>
              <w:rPr>
                <w:rtl/>
              </w:rPr>
              <w:t>תפקידי ההנהלה</w:t>
            </w:r>
          </w:p>
        </w:tc>
        <w:tc>
          <w:tcPr>
            <w:tcW w:w="567" w:type="dxa"/>
          </w:tcPr>
          <w:p w:rsidR="00651343" w:rsidRPr="00651343" w:rsidRDefault="00651343" w:rsidP="00651343">
            <w:pPr>
              <w:rPr>
                <w:rStyle w:val="Hyperlink"/>
                <w:rFonts w:hint="cs"/>
                <w:rtl/>
              </w:rPr>
            </w:pPr>
            <w:hyperlink w:anchor="Seif6" w:tooltip="תפקידי ההנהלה"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7 </w:t>
            </w:r>
          </w:p>
        </w:tc>
        <w:tc>
          <w:tcPr>
            <w:tcW w:w="5669" w:type="dxa"/>
          </w:tcPr>
          <w:p w:rsidR="00651343" w:rsidRPr="00651343" w:rsidRDefault="00651343" w:rsidP="00651343">
            <w:pPr>
              <w:rPr>
                <w:rFonts w:cs="Frankruhel" w:hint="cs"/>
                <w:rtl/>
              </w:rPr>
            </w:pPr>
            <w:r>
              <w:rPr>
                <w:rtl/>
              </w:rPr>
              <w:t>ניגוד עניינים</w:t>
            </w:r>
          </w:p>
        </w:tc>
        <w:tc>
          <w:tcPr>
            <w:tcW w:w="567" w:type="dxa"/>
          </w:tcPr>
          <w:p w:rsidR="00651343" w:rsidRPr="00651343" w:rsidRDefault="00651343" w:rsidP="00651343">
            <w:pPr>
              <w:rPr>
                <w:rStyle w:val="Hyperlink"/>
                <w:rFonts w:hint="cs"/>
                <w:rtl/>
              </w:rPr>
            </w:pPr>
            <w:hyperlink w:anchor="Seif7" w:tooltip="ניגוד עניינים"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p>
        </w:tc>
        <w:tc>
          <w:tcPr>
            <w:tcW w:w="5669" w:type="dxa"/>
          </w:tcPr>
          <w:p w:rsidR="00651343" w:rsidRPr="00651343" w:rsidRDefault="00651343" w:rsidP="00651343">
            <w:pPr>
              <w:rPr>
                <w:rFonts w:cs="Frankruhel" w:hint="cs"/>
                <w:rtl/>
              </w:rPr>
            </w:pPr>
            <w:r>
              <w:rPr>
                <w:rtl/>
              </w:rPr>
              <w:t>פרק ד': סדרי עבודת ההנהלה</w:t>
            </w:r>
          </w:p>
        </w:tc>
        <w:tc>
          <w:tcPr>
            <w:tcW w:w="567" w:type="dxa"/>
          </w:tcPr>
          <w:p w:rsidR="00651343" w:rsidRPr="00651343" w:rsidRDefault="00651343" w:rsidP="00651343">
            <w:pPr>
              <w:rPr>
                <w:rStyle w:val="Hyperlink"/>
                <w:rFonts w:hint="cs"/>
                <w:rtl/>
              </w:rPr>
            </w:pPr>
            <w:hyperlink w:anchor="med3" w:tooltip="פרק ד: סדרי עבודת ההנהלה"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8 </w:t>
            </w:r>
          </w:p>
        </w:tc>
        <w:tc>
          <w:tcPr>
            <w:tcW w:w="5669" w:type="dxa"/>
          </w:tcPr>
          <w:p w:rsidR="00651343" w:rsidRPr="00651343" w:rsidRDefault="00651343" w:rsidP="00651343">
            <w:pPr>
              <w:rPr>
                <w:rFonts w:cs="Frankruhel" w:hint="cs"/>
                <w:rtl/>
              </w:rPr>
            </w:pPr>
            <w:r>
              <w:rPr>
                <w:rtl/>
              </w:rPr>
              <w:t>סדרי עבודת ההנהלה</w:t>
            </w:r>
          </w:p>
        </w:tc>
        <w:tc>
          <w:tcPr>
            <w:tcW w:w="567" w:type="dxa"/>
          </w:tcPr>
          <w:p w:rsidR="00651343" w:rsidRPr="00651343" w:rsidRDefault="00651343" w:rsidP="00651343">
            <w:pPr>
              <w:rPr>
                <w:rStyle w:val="Hyperlink"/>
                <w:rFonts w:hint="cs"/>
                <w:rtl/>
              </w:rPr>
            </w:pPr>
            <w:hyperlink w:anchor="Seif8" w:tooltip="סדרי עבודת ההנהלה"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9 </w:t>
            </w:r>
          </w:p>
        </w:tc>
        <w:tc>
          <w:tcPr>
            <w:tcW w:w="5669" w:type="dxa"/>
          </w:tcPr>
          <w:p w:rsidR="00651343" w:rsidRPr="00651343" w:rsidRDefault="00651343" w:rsidP="00651343">
            <w:pPr>
              <w:rPr>
                <w:rFonts w:cs="Frankruhel" w:hint="cs"/>
                <w:rtl/>
              </w:rPr>
            </w:pPr>
            <w:r>
              <w:rPr>
                <w:rtl/>
              </w:rPr>
              <w:t>מניין חוקי</w:t>
            </w:r>
          </w:p>
        </w:tc>
        <w:tc>
          <w:tcPr>
            <w:tcW w:w="567" w:type="dxa"/>
          </w:tcPr>
          <w:p w:rsidR="00651343" w:rsidRPr="00651343" w:rsidRDefault="00651343" w:rsidP="00651343">
            <w:pPr>
              <w:rPr>
                <w:rStyle w:val="Hyperlink"/>
                <w:rFonts w:hint="cs"/>
                <w:rtl/>
              </w:rPr>
            </w:pPr>
            <w:hyperlink w:anchor="Seif9" w:tooltip="מניין חוקי"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p>
        </w:tc>
        <w:tc>
          <w:tcPr>
            <w:tcW w:w="5669" w:type="dxa"/>
          </w:tcPr>
          <w:p w:rsidR="00651343" w:rsidRPr="00651343" w:rsidRDefault="00651343" w:rsidP="00651343">
            <w:pPr>
              <w:rPr>
                <w:rFonts w:cs="Frankruhel" w:hint="cs"/>
                <w:rtl/>
              </w:rPr>
            </w:pPr>
            <w:r>
              <w:rPr>
                <w:rtl/>
              </w:rPr>
              <w:t>פרק ה': תקבולים והוצאות</w:t>
            </w:r>
          </w:p>
        </w:tc>
        <w:tc>
          <w:tcPr>
            <w:tcW w:w="567" w:type="dxa"/>
          </w:tcPr>
          <w:p w:rsidR="00651343" w:rsidRPr="00651343" w:rsidRDefault="00651343" w:rsidP="00651343">
            <w:pPr>
              <w:rPr>
                <w:rStyle w:val="Hyperlink"/>
                <w:rFonts w:hint="cs"/>
                <w:rtl/>
              </w:rPr>
            </w:pPr>
            <w:hyperlink w:anchor="med4" w:tooltip="פרק ה: תקבולים והוצאות"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w:t>
            </w:r>
            <w:r>
              <w:rPr>
                <w:rFonts w:cs="Frankruhel"/>
                <w:rtl/>
              </w:rPr>
              <w:fldChar w:fldCharType="end"/>
            </w:r>
          </w:p>
        </w:tc>
      </w:tr>
      <w:tr w:rsidR="00651343" w:rsidRPr="00651343">
        <w:tblPrEx>
          <w:tblCellMar>
            <w:top w:w="0" w:type="dxa"/>
            <w:bottom w:w="0" w:type="dxa"/>
          </w:tblCellMar>
        </w:tblPrEx>
        <w:tc>
          <w:tcPr>
            <w:tcW w:w="1247" w:type="dxa"/>
          </w:tcPr>
          <w:p w:rsidR="00651343" w:rsidRPr="00651343" w:rsidRDefault="00651343" w:rsidP="00651343">
            <w:pPr>
              <w:rPr>
                <w:rFonts w:cs="Frankruhel" w:hint="cs"/>
                <w:rtl/>
              </w:rPr>
            </w:pPr>
            <w:r>
              <w:rPr>
                <w:rtl/>
              </w:rPr>
              <w:t xml:space="preserve">סעיף 10 </w:t>
            </w:r>
          </w:p>
        </w:tc>
        <w:tc>
          <w:tcPr>
            <w:tcW w:w="5669" w:type="dxa"/>
          </w:tcPr>
          <w:p w:rsidR="00651343" w:rsidRPr="00651343" w:rsidRDefault="00651343" w:rsidP="00651343">
            <w:pPr>
              <w:rPr>
                <w:rFonts w:cs="Frankruhel" w:hint="cs"/>
                <w:rtl/>
              </w:rPr>
            </w:pPr>
            <w:r>
              <w:rPr>
                <w:rtl/>
              </w:rPr>
              <w:t>תקבולים והוצאות</w:t>
            </w:r>
          </w:p>
        </w:tc>
        <w:tc>
          <w:tcPr>
            <w:tcW w:w="567" w:type="dxa"/>
          </w:tcPr>
          <w:p w:rsidR="00651343" w:rsidRPr="00651343" w:rsidRDefault="00651343" w:rsidP="00651343">
            <w:pPr>
              <w:rPr>
                <w:rStyle w:val="Hyperlink"/>
                <w:rFonts w:hint="cs"/>
                <w:rtl/>
              </w:rPr>
            </w:pPr>
            <w:hyperlink w:anchor="Seif10" w:tooltip="תקבולים והוצאות" w:history="1">
              <w:r w:rsidRPr="00651343">
                <w:rPr>
                  <w:rStyle w:val="Hyperlink"/>
                </w:rPr>
                <w:t>Go</w:t>
              </w:r>
            </w:hyperlink>
          </w:p>
        </w:tc>
        <w:tc>
          <w:tcPr>
            <w:tcW w:w="850" w:type="dxa"/>
          </w:tcPr>
          <w:p w:rsidR="00651343" w:rsidRPr="00651343" w:rsidRDefault="00651343" w:rsidP="006513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BF7083">
      <w:pPr>
        <w:pStyle w:val="big-header"/>
        <w:ind w:left="0" w:right="1134"/>
        <w:rPr>
          <w:rStyle w:val="default"/>
          <w:rFonts w:hint="cs"/>
          <w:sz w:val="22"/>
          <w:szCs w:val="22"/>
          <w:rtl/>
        </w:rPr>
      </w:pPr>
      <w:r>
        <w:rPr>
          <w:rFonts w:cs="FrankRuehl"/>
          <w:sz w:val="32"/>
          <w:rtl/>
        </w:rPr>
        <w:br w:type="page"/>
      </w:r>
      <w:r w:rsidR="00BF7083">
        <w:rPr>
          <w:rFonts w:cs="FrankRuehl" w:hint="cs"/>
          <w:sz w:val="32"/>
          <w:rtl/>
        </w:rPr>
        <w:lastRenderedPageBreak/>
        <w:t>תקנות רשות מקרקעי ישראל (קרן לשמירה על שטחים פתוחים), תשע"ב-2012</w:t>
      </w:r>
      <w:r>
        <w:rPr>
          <w:rStyle w:val="default"/>
          <w:sz w:val="22"/>
          <w:szCs w:val="22"/>
          <w:rtl/>
        </w:rPr>
        <w:footnoteReference w:customMarkFollows="1" w:id="1"/>
        <w:t>*</w:t>
      </w:r>
    </w:p>
    <w:p w:rsidR="00BF7083" w:rsidRDefault="00BF7083" w:rsidP="00BF7083">
      <w:pPr>
        <w:pStyle w:val="P00"/>
        <w:spacing w:before="72"/>
        <w:ind w:left="0" w:right="1134"/>
        <w:rPr>
          <w:rStyle w:val="default"/>
          <w:rFonts w:cs="FrankRuehl" w:hint="cs"/>
          <w:rtl/>
        </w:rPr>
      </w:pPr>
      <w:r>
        <w:rPr>
          <w:rStyle w:val="default"/>
          <w:rFonts w:cs="FrankRuehl" w:hint="cs"/>
          <w:rtl/>
        </w:rPr>
        <w:tab/>
        <w:t xml:space="preserve">בתוקף סמכותי לפי סעיף 4כב לחוק רשות מקרקעי ישראל, התש"ך-1960 (להלן </w:t>
      </w:r>
      <w:r>
        <w:rPr>
          <w:rStyle w:val="default"/>
          <w:rFonts w:cs="FrankRuehl"/>
          <w:rtl/>
        </w:rPr>
        <w:t>–</w:t>
      </w:r>
      <w:r>
        <w:rPr>
          <w:rStyle w:val="default"/>
          <w:rFonts w:cs="FrankRuehl" w:hint="cs"/>
          <w:rtl/>
        </w:rPr>
        <w:t xml:space="preserve"> החוק), ובהסכמת שר האוצר והשר להגנת הסביבה, אני מתקין תקנות אלה:</w:t>
      </w:r>
    </w:p>
    <w:p w:rsidR="000A51DD" w:rsidRPr="009E238F" w:rsidRDefault="009E4684" w:rsidP="00BF7083">
      <w:pPr>
        <w:pStyle w:val="medium2-header"/>
        <w:keepLines w:val="0"/>
        <w:spacing w:before="72"/>
        <w:ind w:left="0" w:right="1134"/>
        <w:rPr>
          <w:rFonts w:cs="FrankRuehl" w:hint="cs"/>
          <w:noProof/>
          <w:rtl/>
        </w:rPr>
      </w:pPr>
      <w:bookmarkStart w:id="0" w:name="med0"/>
      <w:bookmarkEnd w:id="0"/>
      <w:r w:rsidRPr="009E238F">
        <w:rPr>
          <w:rFonts w:cs="FrankRuehl" w:hint="cs"/>
          <w:noProof/>
          <w:rtl/>
        </w:rPr>
        <w:t xml:space="preserve">פרק א': </w:t>
      </w:r>
      <w:r w:rsidR="00BF7083">
        <w:rPr>
          <w:rFonts w:cs="FrankRuehl" w:hint="cs"/>
          <w:noProof/>
          <w:rtl/>
        </w:rPr>
        <w:t>פרשנות</w:t>
      </w:r>
    </w:p>
    <w:p w:rsidR="000A51DD" w:rsidRDefault="000A51DD" w:rsidP="00BF7083">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0.95pt;z-index:251653120" o:allowincell="f" filled="f" stroked="f" strokecolor="lime" strokeweight=".25pt">
            <v:textbox style="mso-next-textbox:#_x0000_s1026" inset="0,0,0,0">
              <w:txbxContent>
                <w:p w:rsidR="000A51DD" w:rsidRDefault="009769D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F7083">
        <w:rPr>
          <w:rStyle w:val="default"/>
          <w:rFonts w:cs="FrankRuehl" w:hint="cs"/>
          <w:rtl/>
        </w:rPr>
        <w:t>בתקנות אל</w:t>
      </w:r>
      <w:r w:rsidR="009E238F">
        <w:rPr>
          <w:rStyle w:val="default"/>
          <w:rFonts w:cs="FrankRuehl" w:hint="cs"/>
          <w:rtl/>
        </w:rPr>
        <w:t>ה</w:t>
      </w:r>
      <w:r w:rsidR="009769DC">
        <w:rPr>
          <w:rStyle w:val="default"/>
          <w:rFonts w:cs="FrankRuehl" w:hint="cs"/>
          <w:rtl/>
        </w:rPr>
        <w:t xml:space="preserve"> </w:t>
      </w:r>
      <w:r w:rsidR="009769DC">
        <w:rPr>
          <w:rStyle w:val="default"/>
          <w:rFonts w:cs="FrankRuehl"/>
          <w:rtl/>
        </w:rPr>
        <w:t>–</w:t>
      </w:r>
    </w:p>
    <w:p w:rsidR="00BF7083" w:rsidRDefault="00BF7083" w:rsidP="00BF7083">
      <w:pPr>
        <w:pStyle w:val="P00"/>
        <w:spacing w:before="72"/>
        <w:ind w:left="0" w:right="1134"/>
        <w:rPr>
          <w:rStyle w:val="default"/>
          <w:rFonts w:cs="FrankRuehl" w:hint="cs"/>
          <w:rtl/>
        </w:rPr>
      </w:pPr>
      <w:r>
        <w:rPr>
          <w:rStyle w:val="default"/>
          <w:rFonts w:cs="FrankRuehl" w:hint="cs"/>
          <w:rtl/>
        </w:rPr>
        <w:tab/>
        <w:t xml:space="preserve">"הקרן" </w:t>
      </w:r>
      <w:r>
        <w:rPr>
          <w:rStyle w:val="default"/>
          <w:rFonts w:cs="FrankRuehl"/>
          <w:rtl/>
        </w:rPr>
        <w:t>–</w:t>
      </w:r>
      <w:r>
        <w:rPr>
          <w:rStyle w:val="default"/>
          <w:rFonts w:cs="FrankRuehl" w:hint="cs"/>
          <w:rtl/>
        </w:rPr>
        <w:t xml:space="preserve"> קרן לשמירה על שטחים פתוחים במסגרת רשות מקרקעי ישראל שהוקמה בסעיף 4כב(א) לחוק;</w:t>
      </w:r>
    </w:p>
    <w:p w:rsidR="00BF7083" w:rsidRDefault="00BF7083" w:rsidP="00BF7083">
      <w:pPr>
        <w:pStyle w:val="P00"/>
        <w:spacing w:before="72"/>
        <w:ind w:left="0" w:right="1134"/>
        <w:rPr>
          <w:rStyle w:val="default"/>
          <w:rFonts w:cs="FrankRuehl" w:hint="cs"/>
          <w:rtl/>
        </w:rPr>
      </w:pPr>
      <w:r>
        <w:rPr>
          <w:rStyle w:val="default"/>
          <w:rFonts w:cs="FrankRuehl" w:hint="cs"/>
          <w:rtl/>
        </w:rPr>
        <w:tab/>
        <w:t xml:space="preserve">"הרשות לשמירת הטבע והגנים הלאומיים" </w:t>
      </w:r>
      <w:r>
        <w:rPr>
          <w:rStyle w:val="default"/>
          <w:rFonts w:cs="FrankRuehl"/>
          <w:rtl/>
        </w:rPr>
        <w:t>–</w:t>
      </w:r>
      <w:r>
        <w:rPr>
          <w:rStyle w:val="default"/>
          <w:rFonts w:cs="FrankRuehl" w:hint="cs"/>
          <w:rtl/>
        </w:rPr>
        <w:t xml:space="preserve"> כהגדרתה בחוק גנים לאומיים, שמורות טבע, אתרים לאומיים ואתרי הנצחה</w:t>
      </w:r>
      <w:r w:rsidR="001D5802">
        <w:rPr>
          <w:rStyle w:val="default"/>
          <w:rFonts w:cs="FrankRuehl" w:hint="cs"/>
          <w:rtl/>
        </w:rPr>
        <w:t>, התשנ"ח-1998;</w:t>
      </w:r>
    </w:p>
    <w:p w:rsidR="001D5802" w:rsidRDefault="001D5802" w:rsidP="00BF7083">
      <w:pPr>
        <w:pStyle w:val="P00"/>
        <w:spacing w:before="72"/>
        <w:ind w:left="0" w:right="1134"/>
        <w:rPr>
          <w:rStyle w:val="default"/>
          <w:rFonts w:cs="FrankRuehl" w:hint="cs"/>
          <w:rtl/>
        </w:rPr>
      </w:pPr>
      <w:r>
        <w:rPr>
          <w:rStyle w:val="default"/>
          <w:rFonts w:cs="FrankRuehl" w:hint="cs"/>
          <w:rtl/>
        </w:rPr>
        <w:tab/>
        <w:t xml:space="preserve">"שטחים פתוחים" </w:t>
      </w:r>
      <w:r>
        <w:rPr>
          <w:rStyle w:val="default"/>
          <w:rFonts w:cs="FrankRuehl"/>
          <w:rtl/>
        </w:rPr>
        <w:t>–</w:t>
      </w:r>
      <w:r>
        <w:rPr>
          <w:rStyle w:val="default"/>
          <w:rFonts w:cs="FrankRuehl" w:hint="cs"/>
          <w:rtl/>
        </w:rPr>
        <w:t xml:space="preserve"> כמשמעותם בסעיף 4כב(ב) לחוק.</w:t>
      </w:r>
    </w:p>
    <w:p w:rsidR="005C4C1C" w:rsidRPr="005C4C1C" w:rsidRDefault="005C4C1C" w:rsidP="001D5802">
      <w:pPr>
        <w:pStyle w:val="medium2-header"/>
        <w:keepLines w:val="0"/>
        <w:spacing w:before="72"/>
        <w:ind w:left="0" w:right="1134"/>
        <w:rPr>
          <w:rFonts w:cs="FrankRuehl" w:hint="cs"/>
          <w:noProof/>
          <w:rtl/>
        </w:rPr>
      </w:pPr>
      <w:bookmarkStart w:id="2" w:name="med1"/>
      <w:bookmarkEnd w:id="2"/>
      <w:r w:rsidRPr="005C4C1C">
        <w:rPr>
          <w:rFonts w:cs="FrankRuehl" w:hint="cs"/>
          <w:noProof/>
          <w:rtl/>
        </w:rPr>
        <w:t xml:space="preserve">פרק ב': </w:t>
      </w:r>
      <w:r w:rsidR="001D5802">
        <w:rPr>
          <w:rFonts w:cs="FrankRuehl" w:hint="cs"/>
          <w:noProof/>
          <w:rtl/>
        </w:rPr>
        <w:t>תפקידי הקרן</w:t>
      </w:r>
    </w:p>
    <w:p w:rsidR="000A51DD" w:rsidRDefault="000A51DD" w:rsidP="001D5802">
      <w:pPr>
        <w:pStyle w:val="P00"/>
        <w:spacing w:before="72"/>
        <w:ind w:left="0" w:right="1134"/>
        <w:rPr>
          <w:rStyle w:val="default"/>
          <w:rFonts w:cs="FrankRuehl" w:hint="cs"/>
          <w:rtl/>
        </w:rPr>
      </w:pPr>
      <w:bookmarkStart w:id="3" w:name="Seif2"/>
      <w:bookmarkEnd w:id="3"/>
      <w:r>
        <w:rPr>
          <w:rFonts w:cs="Miriam"/>
          <w:lang w:val="he-IL"/>
        </w:rPr>
        <w:pict>
          <v:rect id="_x0000_s1250" style="position:absolute;left:0;text-align:left;margin-left:464.35pt;margin-top:7.1pt;width:75.05pt;height:11.4pt;z-index:251654144" o:allowincell="f" filled="f" stroked="f" strokecolor="lime" strokeweight=".25pt">
            <v:textbox style="mso-next-textbox:#_x0000_s1250" inset="0,0,0,0">
              <w:txbxContent>
                <w:p w:rsidR="000A51DD" w:rsidRDefault="001D5802" w:rsidP="009769DC">
                  <w:pPr>
                    <w:spacing w:line="160" w:lineRule="exact"/>
                    <w:rPr>
                      <w:rFonts w:cs="Miriam" w:hint="cs"/>
                      <w:noProof/>
                      <w:sz w:val="18"/>
                      <w:szCs w:val="18"/>
                      <w:rtl/>
                    </w:rPr>
                  </w:pPr>
                  <w:r>
                    <w:rPr>
                      <w:rFonts w:cs="Miriam" w:hint="cs"/>
                      <w:sz w:val="18"/>
                      <w:szCs w:val="18"/>
                      <w:rtl/>
                    </w:rPr>
                    <w:t>תפקידי הקרן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769DC">
        <w:rPr>
          <w:rStyle w:val="default"/>
          <w:rFonts w:cs="FrankRuehl" w:hint="cs"/>
          <w:rtl/>
        </w:rPr>
        <w:t>(א)</w:t>
      </w:r>
      <w:r w:rsidR="009769DC">
        <w:rPr>
          <w:rStyle w:val="default"/>
          <w:rFonts w:cs="FrankRuehl" w:hint="cs"/>
          <w:rtl/>
        </w:rPr>
        <w:tab/>
      </w:r>
      <w:r w:rsidR="001D5802">
        <w:rPr>
          <w:rStyle w:val="default"/>
          <w:rFonts w:cs="FrankRuehl" w:hint="cs"/>
          <w:rtl/>
        </w:rPr>
        <w:t>אלה תפקידי הקרן:</w:t>
      </w:r>
    </w:p>
    <w:p w:rsidR="001D5802" w:rsidRDefault="001D5802" w:rsidP="00A705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מימון הפעולות המפורטות להלן:</w:t>
      </w:r>
    </w:p>
    <w:p w:rsidR="001D5802" w:rsidRDefault="001D5802" w:rsidP="00C556E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A705B4">
        <w:rPr>
          <w:rStyle w:val="default"/>
          <w:rFonts w:cs="FrankRuehl" w:hint="cs"/>
          <w:rtl/>
        </w:rPr>
        <w:t>רכישת זכויות בקרקע כדי שתשמש שטח פתוח לתועלת הציבור, לרבות לצורך שמורות טבע וגנים לאומיים ולצורך הקמת פארקים, אזורי נופש ופנאי, וכן לשם סיוע בשימורם;</w:t>
      </w:r>
    </w:p>
    <w:p w:rsidR="00A705B4" w:rsidRDefault="00A705B4" w:rsidP="00C556E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שמירה, פיתוח סביבתי, שיקום, תחזוקה וטיפול של שטחים פתוחים ומניעת הזנחתם, לרבות סילוק מטרדים סביבתיים וטיפול בהם;</w:t>
      </w:r>
    </w:p>
    <w:p w:rsidR="00A705B4" w:rsidRDefault="00A705B4" w:rsidP="00C556E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הכנת תכניות כמשמעותן בחוק התכנון והבנייה, התשכ"ה-1965, לשם שמירה על שטחים פתוחים;</w:t>
      </w:r>
    </w:p>
    <w:p w:rsidR="00A705B4" w:rsidRDefault="00A705B4" w:rsidP="00C556E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סיוע למחזיקים על פי דין בקרקע בשמירת השטחים הפתוחים שבחזקתם, בשמירה על מערכת אקולוגית ובמתן שירותי מערכת אקולוגית;</w:t>
      </w:r>
    </w:p>
    <w:p w:rsidR="00A705B4" w:rsidRDefault="00A705B4" w:rsidP="00C556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556EE">
        <w:rPr>
          <w:rStyle w:val="default"/>
          <w:rFonts w:cs="FrankRuehl" w:hint="cs"/>
          <w:rtl/>
        </w:rPr>
        <w:t>איסוף, ניתוח והצגה של מידע על אודות שטחים פתוחים, לשם מימוש מטרות הקרן.</w:t>
      </w:r>
    </w:p>
    <w:p w:rsidR="00C556EE" w:rsidRDefault="00C556EE" w:rsidP="00A705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הקרן תבצע את תפקידיה באמצעות הרשות ובכפוף למדיניות מועצת מקרקעי ישראל.</w:t>
      </w:r>
    </w:p>
    <w:p w:rsidR="00C16BF1" w:rsidRDefault="00C16BF1" w:rsidP="00C556EE">
      <w:pPr>
        <w:pStyle w:val="P00"/>
        <w:spacing w:before="72"/>
        <w:ind w:left="0" w:right="1134"/>
        <w:rPr>
          <w:rStyle w:val="default"/>
          <w:rFonts w:cs="FrankRuehl" w:hint="cs"/>
          <w:rtl/>
        </w:rPr>
      </w:pPr>
      <w:bookmarkStart w:id="4" w:name="Seif3"/>
      <w:bookmarkEnd w:id="4"/>
      <w:r>
        <w:rPr>
          <w:rFonts w:cs="Miriam"/>
          <w:lang w:val="he-IL"/>
        </w:rPr>
        <w:pict>
          <v:rect id="_x0000_s1357" style="position:absolute;left:0;text-align:left;margin-left:464.35pt;margin-top:7.1pt;width:75.05pt;height:22.25pt;z-index:251655168" o:allowincell="f" filled="f" stroked="f" strokecolor="lime" strokeweight=".25pt">
            <v:textbox style="mso-next-textbox:#_x0000_s1357" inset="0,0,0,0">
              <w:txbxContent>
                <w:p w:rsidR="00C16BF1" w:rsidRDefault="00C556EE" w:rsidP="00C16BF1">
                  <w:pPr>
                    <w:spacing w:line="160" w:lineRule="exact"/>
                    <w:rPr>
                      <w:rFonts w:cs="Miriam" w:hint="cs"/>
                      <w:noProof/>
                      <w:sz w:val="18"/>
                      <w:szCs w:val="18"/>
                      <w:rtl/>
                    </w:rPr>
                  </w:pPr>
                  <w:r>
                    <w:rPr>
                      <w:rFonts w:cs="Miriam" w:hint="cs"/>
                      <w:sz w:val="18"/>
                      <w:szCs w:val="18"/>
                      <w:rtl/>
                    </w:rPr>
                    <w:t>סדרי עדיפויות בפעילות הקרן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C556EE">
        <w:rPr>
          <w:rStyle w:val="default"/>
          <w:rFonts w:cs="FrankRuehl" w:hint="cs"/>
          <w:rtl/>
        </w:rPr>
        <w:t>במסגרת פעילותה תעניק הקרן עדיפות למימון הגנה על שטחים בעלי חשיבות לשמירת המגוון הביולוגי, המערכות האקולוגיות ושירותי מערכת אקולוגית.</w:t>
      </w:r>
    </w:p>
    <w:p w:rsidR="0019693F" w:rsidRPr="0019693F" w:rsidRDefault="0019693F" w:rsidP="00C556EE">
      <w:pPr>
        <w:pStyle w:val="medium2-header"/>
        <w:keepLines w:val="0"/>
        <w:spacing w:before="72"/>
        <w:ind w:left="0" w:right="1134"/>
        <w:rPr>
          <w:rFonts w:cs="FrankRuehl" w:hint="cs"/>
          <w:noProof/>
          <w:rtl/>
        </w:rPr>
      </w:pPr>
      <w:bookmarkStart w:id="5" w:name="med2"/>
      <w:bookmarkEnd w:id="5"/>
      <w:r w:rsidRPr="0019693F">
        <w:rPr>
          <w:rFonts w:cs="FrankRuehl" w:hint="cs"/>
          <w:noProof/>
          <w:rtl/>
        </w:rPr>
        <w:t xml:space="preserve">פרק ג': </w:t>
      </w:r>
      <w:r w:rsidR="00C556EE">
        <w:rPr>
          <w:rFonts w:cs="FrankRuehl" w:hint="cs"/>
          <w:noProof/>
          <w:rtl/>
        </w:rPr>
        <w:t>הנהלת הקרן</w:t>
      </w:r>
    </w:p>
    <w:p w:rsidR="00D66218" w:rsidRDefault="00D66218" w:rsidP="00C556EE">
      <w:pPr>
        <w:pStyle w:val="P00"/>
        <w:spacing w:before="72"/>
        <w:ind w:left="0" w:right="1134"/>
        <w:rPr>
          <w:rStyle w:val="default"/>
          <w:rFonts w:cs="FrankRuehl" w:hint="cs"/>
          <w:rtl/>
        </w:rPr>
      </w:pPr>
      <w:bookmarkStart w:id="6" w:name="Seif4"/>
      <w:bookmarkEnd w:id="6"/>
      <w:r>
        <w:rPr>
          <w:rFonts w:cs="Miriam"/>
          <w:lang w:val="he-IL"/>
        </w:rPr>
        <w:pict>
          <v:rect id="_x0000_s1358" style="position:absolute;left:0;text-align:left;margin-left:464.35pt;margin-top:7.1pt;width:75.05pt;height:9.75pt;z-index:251656192" o:allowincell="f" filled="f" stroked="f" strokecolor="lime" strokeweight=".25pt">
            <v:textbox style="mso-next-textbox:#_x0000_s1358" inset="0,0,0,0">
              <w:txbxContent>
                <w:p w:rsidR="00D66218" w:rsidRDefault="00C556EE" w:rsidP="00D66218">
                  <w:pPr>
                    <w:spacing w:line="160" w:lineRule="exact"/>
                    <w:rPr>
                      <w:rFonts w:cs="Miriam" w:hint="cs"/>
                      <w:noProof/>
                      <w:sz w:val="18"/>
                      <w:szCs w:val="18"/>
                      <w:rtl/>
                    </w:rPr>
                  </w:pPr>
                  <w:r>
                    <w:rPr>
                      <w:rFonts w:cs="Miriam" w:hint="cs"/>
                      <w:sz w:val="18"/>
                      <w:szCs w:val="18"/>
                      <w:rtl/>
                    </w:rPr>
                    <w:t>הרכב הנהלת הקרן</w:t>
                  </w:r>
                </w:p>
              </w:txbxContent>
            </v:textbox>
            <w10:anchorlock/>
          </v:rect>
        </w:pict>
      </w:r>
      <w:r w:rsidR="009769DC">
        <w:rPr>
          <w:rStyle w:val="big-number"/>
          <w:rFonts w:cs="Miriam" w:hint="cs"/>
          <w:rtl/>
        </w:rPr>
        <w:t>4</w:t>
      </w:r>
      <w:r>
        <w:rPr>
          <w:rStyle w:val="big-number"/>
          <w:rFonts w:cs="FrankRuehl"/>
          <w:sz w:val="26"/>
          <w:szCs w:val="26"/>
          <w:rtl/>
        </w:rPr>
        <w:t>.</w:t>
      </w:r>
      <w:r>
        <w:rPr>
          <w:rStyle w:val="big-number"/>
          <w:rFonts w:cs="FrankRuehl"/>
          <w:sz w:val="26"/>
          <w:szCs w:val="26"/>
          <w:rtl/>
        </w:rPr>
        <w:tab/>
      </w:r>
      <w:r w:rsidR="00C556EE">
        <w:rPr>
          <w:rStyle w:val="default"/>
          <w:rFonts w:cs="FrankRuehl" w:hint="cs"/>
          <w:rtl/>
        </w:rPr>
        <w:t xml:space="preserve">הנהלת הקרן (להלן </w:t>
      </w:r>
      <w:r w:rsidR="00C556EE">
        <w:rPr>
          <w:rStyle w:val="default"/>
          <w:rFonts w:cs="FrankRuehl"/>
          <w:rtl/>
        </w:rPr>
        <w:t>–</w:t>
      </w:r>
      <w:r w:rsidR="00C556EE">
        <w:rPr>
          <w:rStyle w:val="default"/>
          <w:rFonts w:cs="FrankRuehl" w:hint="cs"/>
          <w:rtl/>
        </w:rPr>
        <w:t xml:space="preserve"> ההנהלה) תהיה בת תשעה חברים כמפורט להלן</w:t>
      </w:r>
      <w:r w:rsidR="0019693F">
        <w:rPr>
          <w:rStyle w:val="default"/>
          <w:rFonts w:cs="FrankRuehl" w:hint="cs"/>
          <w:rtl/>
        </w:rPr>
        <w:t>:</w:t>
      </w:r>
    </w:p>
    <w:p w:rsidR="00C556EE" w:rsidRDefault="00C556EE" w:rsidP="00B167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מנהל הרשות והוא יהיה היושב ראש;</w:t>
      </w:r>
    </w:p>
    <w:p w:rsidR="00C556EE" w:rsidRDefault="00C556EE" w:rsidP="00B167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המנהל הכללי של משרד הבינוי והשיכון, או מי שהוא מינה לכך מקרב עובדי משרדו;</w:t>
      </w:r>
    </w:p>
    <w:p w:rsidR="00C556EE" w:rsidRDefault="00C556EE" w:rsidP="00B167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נציג השר להגנת הסביבה מקרב עובדי משרדו;</w:t>
      </w:r>
    </w:p>
    <w:p w:rsidR="00C556EE" w:rsidRDefault="00C556EE" w:rsidP="00B1671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הממונה על התקציבים במשרד האוצר או מי שהוא מינה לעניין זה מקרב עובדי אגף התקציבים;</w:t>
      </w:r>
    </w:p>
    <w:p w:rsidR="00C556EE" w:rsidRDefault="00C556EE" w:rsidP="00B1671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B1671F">
        <w:rPr>
          <w:rStyle w:val="default"/>
          <w:rFonts w:cs="FrankRuehl" w:hint="cs"/>
          <w:rtl/>
        </w:rPr>
        <w:t>חבר הנהלת הרשות שמינה מנהל הרשות;</w:t>
      </w:r>
    </w:p>
    <w:p w:rsidR="00B1671F" w:rsidRDefault="00B1671F" w:rsidP="00B1671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מנהל מינהל התכנון במשרד הפנים או מי שהוא מינה לעניין זה מקרב עובדי מינהל התכנון;</w:t>
      </w:r>
    </w:p>
    <w:p w:rsidR="00B1671F" w:rsidRDefault="00B1671F" w:rsidP="00B1671F">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נציג השלטון המקומי, שמינה השר, על פי המלצת שר הפנים;</w:t>
      </w:r>
    </w:p>
    <w:p w:rsidR="00B1671F" w:rsidRDefault="00B1671F" w:rsidP="00B1671F">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נציג הרשות לשמירת הטבע והגנים הלאומיים שמינה מנהל הרשות;</w:t>
      </w:r>
    </w:p>
    <w:p w:rsidR="00B1671F" w:rsidRDefault="00B1671F" w:rsidP="00B1671F">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נציג הגופים הציבוריים שעניינם בשמירת איכות הסביבה, שמינה השר להגנת </w:t>
      </w:r>
      <w:r>
        <w:rPr>
          <w:rStyle w:val="default"/>
          <w:rFonts w:cs="FrankRuehl" w:hint="cs"/>
          <w:rtl/>
        </w:rPr>
        <w:lastRenderedPageBreak/>
        <w:t xml:space="preserve">הסביבה מתוך רשימת מועמדים שהגישו לו ארגונים אלה; לעניין זה, "הגופים הציבוריים שעניינם בשמירת איכות הסביבה" </w:t>
      </w:r>
      <w:r>
        <w:rPr>
          <w:rStyle w:val="default"/>
          <w:rFonts w:cs="FrankRuehl"/>
          <w:rtl/>
        </w:rPr>
        <w:t>–</w:t>
      </w:r>
      <w:r>
        <w:rPr>
          <w:rStyle w:val="default"/>
          <w:rFonts w:cs="FrankRuehl" w:hint="cs"/>
          <w:rtl/>
        </w:rPr>
        <w:t xml:space="preserve"> הגופים המפורטים בחלק א' בתוספת לחוק ייצוג גופים ציבוריים שעניינם בשמירת איכות הסביבה (תיקוני חקיקה), התשס"ג-2002.</w:t>
      </w:r>
    </w:p>
    <w:p w:rsidR="00D66218" w:rsidRDefault="00D66218" w:rsidP="00B1671F">
      <w:pPr>
        <w:pStyle w:val="P00"/>
        <w:spacing w:before="72"/>
        <w:ind w:left="0" w:right="1134"/>
        <w:rPr>
          <w:rStyle w:val="default"/>
          <w:rFonts w:cs="FrankRuehl" w:hint="cs"/>
          <w:rtl/>
        </w:rPr>
      </w:pPr>
      <w:bookmarkStart w:id="7" w:name="Seif5"/>
      <w:bookmarkEnd w:id="7"/>
      <w:r>
        <w:rPr>
          <w:rFonts w:cs="Miriam"/>
          <w:lang w:val="he-IL"/>
        </w:rPr>
        <w:pict>
          <v:rect id="_x0000_s1359" style="position:absolute;left:0;text-align:left;margin-left:464.35pt;margin-top:7.1pt;width:75.05pt;height:10.3pt;z-index:251657216" o:allowincell="f" filled="f" stroked="f" strokecolor="lime" strokeweight=".25pt">
            <v:textbox style="mso-next-textbox:#_x0000_s1359" inset="0,0,0,0">
              <w:txbxContent>
                <w:p w:rsidR="00D66218" w:rsidRDefault="00B1671F" w:rsidP="00D66218">
                  <w:pPr>
                    <w:spacing w:line="160" w:lineRule="exact"/>
                    <w:rPr>
                      <w:rFonts w:cs="Miriam" w:hint="cs"/>
                      <w:noProof/>
                      <w:sz w:val="18"/>
                      <w:szCs w:val="18"/>
                      <w:rtl/>
                    </w:rPr>
                  </w:pPr>
                  <w:r>
                    <w:rPr>
                      <w:rFonts w:cs="Miriam" w:hint="cs"/>
                      <w:sz w:val="18"/>
                      <w:szCs w:val="18"/>
                      <w:rtl/>
                    </w:rPr>
                    <w:t>תקופת כהונה</w:t>
                  </w:r>
                </w:p>
              </w:txbxContent>
            </v:textbox>
            <w10:anchorlock/>
          </v:rect>
        </w:pict>
      </w:r>
      <w:r w:rsidR="009769DC">
        <w:rPr>
          <w:rStyle w:val="big-number"/>
          <w:rFonts w:cs="Miriam" w:hint="cs"/>
          <w:rtl/>
        </w:rPr>
        <w:t>5</w:t>
      </w:r>
      <w:r>
        <w:rPr>
          <w:rStyle w:val="big-number"/>
          <w:rFonts w:cs="FrankRuehl"/>
          <w:sz w:val="26"/>
          <w:szCs w:val="26"/>
          <w:rtl/>
        </w:rPr>
        <w:t>.</w:t>
      </w:r>
      <w:r>
        <w:rPr>
          <w:rStyle w:val="big-number"/>
          <w:rFonts w:cs="FrankRuehl"/>
          <w:sz w:val="26"/>
          <w:szCs w:val="26"/>
          <w:rtl/>
        </w:rPr>
        <w:tab/>
      </w:r>
      <w:r w:rsidR="00B1671F">
        <w:rPr>
          <w:rStyle w:val="default"/>
          <w:rFonts w:cs="FrankRuehl" w:hint="cs"/>
          <w:rtl/>
        </w:rPr>
        <w:t>חבר הנהלה ימונה לתקופה של חמש שנים, וניתן לשוב ולמנותו לאחר מכן לתקופות כהונה נוספות</w:t>
      </w:r>
      <w:r w:rsidR="00213C00">
        <w:rPr>
          <w:rStyle w:val="default"/>
          <w:rFonts w:cs="FrankRuehl" w:hint="cs"/>
          <w:rtl/>
        </w:rPr>
        <w:t>.</w:t>
      </w:r>
    </w:p>
    <w:p w:rsidR="00D66218" w:rsidRDefault="00D66218" w:rsidP="00B1671F">
      <w:pPr>
        <w:pStyle w:val="P00"/>
        <w:spacing w:before="72"/>
        <w:ind w:left="0" w:right="1134"/>
        <w:rPr>
          <w:rStyle w:val="default"/>
          <w:rFonts w:cs="FrankRuehl" w:hint="cs"/>
          <w:rtl/>
        </w:rPr>
      </w:pPr>
      <w:bookmarkStart w:id="8" w:name="Seif6"/>
      <w:bookmarkEnd w:id="8"/>
      <w:r>
        <w:rPr>
          <w:rFonts w:cs="Miriam"/>
          <w:lang w:val="he-IL"/>
        </w:rPr>
        <w:pict>
          <v:rect id="_x0000_s1360" style="position:absolute;left:0;text-align:left;margin-left:464.35pt;margin-top:7.1pt;width:75.05pt;height:8.95pt;z-index:251658240" o:allowincell="f" filled="f" stroked="f" strokecolor="lime" strokeweight=".25pt">
            <v:textbox style="mso-next-textbox:#_x0000_s1360" inset="0,0,0,0">
              <w:txbxContent>
                <w:p w:rsidR="00D66218" w:rsidRDefault="00B1671F" w:rsidP="00D66218">
                  <w:pPr>
                    <w:spacing w:line="160" w:lineRule="exact"/>
                    <w:rPr>
                      <w:rFonts w:cs="Miriam" w:hint="cs"/>
                      <w:noProof/>
                      <w:sz w:val="18"/>
                      <w:szCs w:val="18"/>
                      <w:rtl/>
                    </w:rPr>
                  </w:pPr>
                  <w:r>
                    <w:rPr>
                      <w:rFonts w:cs="Miriam" w:hint="cs"/>
                      <w:sz w:val="18"/>
                      <w:szCs w:val="18"/>
                      <w:rtl/>
                    </w:rPr>
                    <w:t>תפקידי ההנהלה</w:t>
                  </w:r>
                </w:p>
              </w:txbxContent>
            </v:textbox>
            <w10:anchorlock/>
          </v:rect>
        </w:pict>
      </w:r>
      <w:r w:rsidR="00930E30">
        <w:rPr>
          <w:rStyle w:val="big-number"/>
          <w:rFonts w:cs="Miriam" w:hint="cs"/>
          <w:rtl/>
        </w:rPr>
        <w:t>6</w:t>
      </w:r>
      <w:r>
        <w:rPr>
          <w:rStyle w:val="big-number"/>
          <w:rFonts w:cs="FrankRuehl"/>
          <w:sz w:val="26"/>
          <w:szCs w:val="26"/>
          <w:rtl/>
        </w:rPr>
        <w:t>.</w:t>
      </w:r>
      <w:r>
        <w:rPr>
          <w:rStyle w:val="big-number"/>
          <w:rFonts w:cs="FrankRuehl"/>
          <w:sz w:val="26"/>
          <w:szCs w:val="26"/>
          <w:rtl/>
        </w:rPr>
        <w:tab/>
      </w:r>
      <w:r w:rsidR="00B1671F">
        <w:rPr>
          <w:rStyle w:val="default"/>
          <w:rFonts w:cs="FrankRuehl" w:hint="cs"/>
          <w:rtl/>
        </w:rPr>
        <w:t>לשם קידום מטרות הקרן תהיה ההנהלה רשאית לעשות את כל אלה:</w:t>
      </w:r>
    </w:p>
    <w:p w:rsidR="00B1671F" w:rsidRDefault="00B1671F" w:rsidP="00B167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להכין תכנית רב-שנתית למימוש מטרות הקרן, שתובא לאישור הממשלה;</w:t>
      </w:r>
    </w:p>
    <w:p w:rsidR="00B1671F" w:rsidRPr="00B1671F" w:rsidRDefault="00B1671F" w:rsidP="00B1671F">
      <w:pPr>
        <w:pStyle w:val="P00"/>
        <w:spacing w:before="72"/>
        <w:ind w:left="624" w:right="1134"/>
        <w:rPr>
          <w:rStyle w:val="default"/>
          <w:rFonts w:cs="FrankRuehl" w:hint="cs"/>
          <w:sz w:val="20"/>
          <w:rtl/>
        </w:rPr>
      </w:pPr>
      <w:r w:rsidRPr="00B1671F">
        <w:rPr>
          <w:rStyle w:val="default"/>
          <w:rFonts w:cs="FrankRuehl" w:hint="cs"/>
          <w:sz w:val="20"/>
          <w:rtl/>
        </w:rPr>
        <w:t>(2)</w:t>
      </w:r>
      <w:r w:rsidRPr="00B1671F">
        <w:rPr>
          <w:rStyle w:val="default"/>
          <w:rFonts w:cs="FrankRuehl" w:hint="cs"/>
          <w:sz w:val="20"/>
          <w:rtl/>
        </w:rPr>
        <w:tab/>
        <w:t xml:space="preserve">להכין תכנית פעולה שנתית; תכנית הפעולה וכן החלטותיה של הקרן יפורסמו באתר האינטרנט של הרשות שכתובתו: </w:t>
      </w:r>
      <w:hyperlink r:id="rId7" w:history="1">
        <w:r w:rsidRPr="00B1671F">
          <w:rPr>
            <w:rStyle w:val="Hyperlink"/>
            <w:rFonts w:cs="FrankRuehl"/>
            <w:smallCaps/>
          </w:rPr>
          <w:t>www.mmi.gov.il</w:t>
        </w:r>
      </w:hyperlink>
      <w:r w:rsidRPr="00B1671F">
        <w:rPr>
          <w:rStyle w:val="default"/>
          <w:rFonts w:cs="FrankRuehl" w:hint="cs"/>
          <w:sz w:val="20"/>
          <w:rtl/>
        </w:rPr>
        <w:t>;</w:t>
      </w:r>
    </w:p>
    <w:p w:rsidR="00B1671F" w:rsidRDefault="00B1671F" w:rsidP="00B167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לאשר מיזמים משותפים במסגרת התכנית השנתית, למימוש מטרות הקרן;</w:t>
      </w:r>
    </w:p>
    <w:p w:rsidR="00B1671F" w:rsidRDefault="00B1671F" w:rsidP="00B1671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לעקוב אחר ביצוע התכנית השנתית.</w:t>
      </w:r>
    </w:p>
    <w:p w:rsidR="00D66218" w:rsidRDefault="00D66218" w:rsidP="00B1671F">
      <w:pPr>
        <w:pStyle w:val="P00"/>
        <w:spacing w:before="72"/>
        <w:ind w:left="0" w:right="1134"/>
        <w:rPr>
          <w:rStyle w:val="default"/>
          <w:rFonts w:cs="FrankRuehl" w:hint="cs"/>
          <w:rtl/>
        </w:rPr>
      </w:pPr>
      <w:bookmarkStart w:id="9" w:name="Seif7"/>
      <w:bookmarkEnd w:id="9"/>
      <w:r>
        <w:rPr>
          <w:rFonts w:cs="Miriam"/>
          <w:lang w:val="he-IL"/>
        </w:rPr>
        <w:pict>
          <v:rect id="_x0000_s1361" style="position:absolute;left:0;text-align:left;margin-left:464.35pt;margin-top:7.1pt;width:75.05pt;height:9.15pt;z-index:251659264" o:allowincell="f" filled="f" stroked="f" strokecolor="lime" strokeweight=".25pt">
            <v:textbox style="mso-next-textbox:#_x0000_s1361" inset="0,0,0,0">
              <w:txbxContent>
                <w:p w:rsidR="00D66218" w:rsidRDefault="00B1671F" w:rsidP="00D66218">
                  <w:pPr>
                    <w:spacing w:line="160" w:lineRule="exact"/>
                    <w:rPr>
                      <w:rFonts w:cs="Miriam" w:hint="cs"/>
                      <w:noProof/>
                      <w:sz w:val="18"/>
                      <w:szCs w:val="18"/>
                      <w:rtl/>
                    </w:rPr>
                  </w:pPr>
                  <w:r>
                    <w:rPr>
                      <w:rFonts w:cs="Miriam" w:hint="cs"/>
                      <w:sz w:val="18"/>
                      <w:szCs w:val="18"/>
                      <w:rtl/>
                    </w:rPr>
                    <w:t>ניגוד עניינים</w:t>
                  </w:r>
                </w:p>
              </w:txbxContent>
            </v:textbox>
            <w10:anchorlock/>
          </v:rect>
        </w:pict>
      </w:r>
      <w:r w:rsidR="00930E30">
        <w:rPr>
          <w:rStyle w:val="big-number"/>
          <w:rFonts w:cs="Miriam" w:hint="cs"/>
          <w:rtl/>
        </w:rPr>
        <w:t>7</w:t>
      </w:r>
      <w:r>
        <w:rPr>
          <w:rStyle w:val="big-number"/>
          <w:rFonts w:cs="FrankRuehl"/>
          <w:sz w:val="26"/>
          <w:szCs w:val="26"/>
          <w:rtl/>
        </w:rPr>
        <w:t>.</w:t>
      </w:r>
      <w:r>
        <w:rPr>
          <w:rStyle w:val="big-number"/>
          <w:rFonts w:cs="FrankRuehl"/>
          <w:sz w:val="26"/>
          <w:szCs w:val="26"/>
          <w:rtl/>
        </w:rPr>
        <w:tab/>
      </w:r>
      <w:r w:rsidR="00B1671F">
        <w:rPr>
          <w:rStyle w:val="default"/>
          <w:rFonts w:cs="FrankRuehl" w:hint="cs"/>
          <w:rtl/>
        </w:rPr>
        <w:t>(א)</w:t>
      </w:r>
      <w:r w:rsidR="00B1671F">
        <w:rPr>
          <w:rStyle w:val="default"/>
          <w:rFonts w:cs="FrankRuehl" w:hint="cs"/>
          <w:rtl/>
        </w:rPr>
        <w:tab/>
        <w:t>לא יתמנה ולא יכהן כחבר הנהלה מי שעלול להימצא באופן תדיר, במצב של ניגוד עניינים בין תפקידו כחבר הנהלה לבין עניין אישי שלו או לבין תפקיד אחר שלו.</w:t>
      </w:r>
    </w:p>
    <w:p w:rsidR="00B1671F" w:rsidRDefault="00B1671F" w:rsidP="00B167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הנהלה יימנע מהשתתפות בדיון ומהצבעה בישיבות ההנהלה ומכל טיפול, בין בישיבות ההנהלה ובין מחוץ לישיבות ההנהלה, אם הנושא הנדון עלול לגרום לו להימצא, במישרין או בעקיפין, במצב של ניגוד עניינים בין תפקידו לבין עניין אישי שלו או לבין תפקיד אחר שלו; לעניין סעיף זה, אחת היא אם מילוי התפקיד האחר הוא בתמורה או שלא בתמורה.</w:t>
      </w:r>
    </w:p>
    <w:p w:rsidR="00B1671F" w:rsidRDefault="00B1671F" w:rsidP="00B167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התברר לחבר ההנהלה כי הנושא הנדון בישיבה של ההנהלה או נושא שהוא נדרש לטפל בו במסגרת תפקידו כחבר ההנהלה, עלול לגרום לו להימצא במצב של ניגוד עניינים כאמור בתקנת משנה (ב), יודיע על כך בכתב, בלא דיחוי, ליושב ראש ההנהלה, ולא ישתתף בדיון ובהצבעה באותו נושא; התברר ליושב ראש ההנהלה שהוא עלול להימצא במצב של ניגוד עניינים כאמור, יודיע על כך בכתב בלא דיחוי להנהלה ולשר, והשר ימנה לו ממלא מקום מקרב חברי ההנהלה לצורך אותו דיון.</w:t>
      </w:r>
    </w:p>
    <w:p w:rsidR="00B1671F" w:rsidRDefault="00B1671F" w:rsidP="00B1671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הודיע חבר הנהלה כאמור בתקנת משנה (ג), יירשם הדבר בפרוטוקול הישיבה שבה נדון הנושא הגורם לניגוד עניינים.</w:t>
      </w:r>
    </w:p>
    <w:p w:rsidR="00B1671F" w:rsidRDefault="00B1671F" w:rsidP="00B1671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בתקנה זו </w:t>
      </w:r>
      <w:r>
        <w:rPr>
          <w:rStyle w:val="default"/>
          <w:rFonts w:cs="FrankRuehl"/>
          <w:rtl/>
        </w:rPr>
        <w:t>–</w:t>
      </w:r>
    </w:p>
    <w:p w:rsidR="00B1671F" w:rsidRDefault="00B1671F" w:rsidP="00B1671F">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שחבר ההנהלה או קרובו מנהלים או עובדים אחראים בו, או עניין של גוף שיש לכל אחד מהם חלק בהון המניות שלו, בזכות לקבל רווחים, בזכות למנות מנהל או בזכות הצבעה;</w:t>
      </w:r>
    </w:p>
    <w:p w:rsidR="00B1671F" w:rsidRDefault="00B1671F" w:rsidP="00B1671F">
      <w:pPr>
        <w:pStyle w:val="P00"/>
        <w:spacing w:before="72"/>
        <w:ind w:left="0" w:right="1134"/>
        <w:rPr>
          <w:rStyle w:val="default"/>
          <w:rFonts w:cs="FrankRuehl" w:hint="cs"/>
          <w:rtl/>
        </w:rPr>
      </w:pPr>
      <w:r>
        <w:rPr>
          <w:rStyle w:val="default"/>
          <w:rFonts w:cs="FrankRuehl" w:hint="cs"/>
          <w:rtl/>
        </w:rPr>
        <w:tab/>
        <w:t xml:space="preserve">"קרוב" </w:t>
      </w:r>
      <w:r w:rsidR="00EB359E">
        <w:rPr>
          <w:rStyle w:val="default"/>
          <w:rFonts w:cs="FrankRuehl"/>
          <w:rtl/>
        </w:rPr>
        <w:t>–</w:t>
      </w:r>
      <w:r w:rsidR="00EB359E">
        <w:rPr>
          <w:rStyle w:val="default"/>
          <w:rFonts w:cs="FrankRuehl" w:hint="cs"/>
          <w:rtl/>
        </w:rPr>
        <w:t xml:space="preserve"> בן או בת זוג לרבות ידוע בציבור, הורה, הורה הורה, בן, בת, אח, אחות, גיס, גיסה, דוד, דודה, אחיין, אחיינית, חותן, חותנת, חם, חמות, חתן, כלה, נכד או נכדה לרבות קרבה משפחתית חורגת או הנוצרת עקב אימוץ.</w:t>
      </w:r>
    </w:p>
    <w:p w:rsidR="00EB359E" w:rsidRPr="00EB359E" w:rsidRDefault="00EB359E" w:rsidP="00EB359E">
      <w:pPr>
        <w:pStyle w:val="medium2-header"/>
        <w:keepLines w:val="0"/>
        <w:spacing w:before="72"/>
        <w:ind w:left="0" w:right="1134"/>
        <w:rPr>
          <w:rFonts w:cs="FrankRuehl" w:hint="cs"/>
          <w:noProof/>
          <w:rtl/>
        </w:rPr>
      </w:pPr>
      <w:bookmarkStart w:id="10" w:name="med3"/>
      <w:bookmarkEnd w:id="10"/>
      <w:r w:rsidRPr="00EB359E">
        <w:rPr>
          <w:rFonts w:cs="FrankRuehl" w:hint="cs"/>
          <w:noProof/>
          <w:rtl/>
        </w:rPr>
        <w:t>פרק ד': סדרי עבודת ההנהלה</w:t>
      </w:r>
    </w:p>
    <w:p w:rsidR="00D66218" w:rsidRDefault="00D66218" w:rsidP="00EB359E">
      <w:pPr>
        <w:pStyle w:val="P00"/>
        <w:spacing w:before="72"/>
        <w:ind w:left="0" w:right="1134"/>
        <w:rPr>
          <w:rStyle w:val="default"/>
          <w:rFonts w:cs="FrankRuehl" w:hint="cs"/>
          <w:rtl/>
        </w:rPr>
      </w:pPr>
      <w:bookmarkStart w:id="11" w:name="Seif8"/>
      <w:bookmarkEnd w:id="11"/>
      <w:r>
        <w:rPr>
          <w:rFonts w:cs="Miriam"/>
          <w:lang w:val="he-IL"/>
        </w:rPr>
        <w:pict>
          <v:rect id="_x0000_s1362" style="position:absolute;left:0;text-align:left;margin-left:464.35pt;margin-top:7.1pt;width:75.05pt;height:11pt;z-index:251660288" o:allowincell="f" filled="f" stroked="f" strokecolor="lime" strokeweight=".25pt">
            <v:textbox style="mso-next-textbox:#_x0000_s1362" inset="0,0,0,0">
              <w:txbxContent>
                <w:p w:rsidR="00D66218" w:rsidRDefault="00EB359E" w:rsidP="00D66218">
                  <w:pPr>
                    <w:spacing w:line="160" w:lineRule="exact"/>
                    <w:rPr>
                      <w:rFonts w:cs="Miriam" w:hint="cs"/>
                      <w:noProof/>
                      <w:sz w:val="18"/>
                      <w:szCs w:val="18"/>
                      <w:rtl/>
                    </w:rPr>
                  </w:pPr>
                  <w:r>
                    <w:rPr>
                      <w:rFonts w:cs="Miriam" w:hint="cs"/>
                      <w:sz w:val="18"/>
                      <w:szCs w:val="18"/>
                      <w:rtl/>
                    </w:rPr>
                    <w:t>סדרי עבודת ההנהלה</w:t>
                  </w:r>
                </w:p>
              </w:txbxContent>
            </v:textbox>
            <w10:anchorlock/>
          </v:rect>
        </w:pict>
      </w:r>
      <w:r w:rsidR="00930E30">
        <w:rPr>
          <w:rStyle w:val="big-number"/>
          <w:rFonts w:cs="Miriam" w:hint="cs"/>
          <w:rtl/>
        </w:rPr>
        <w:t>8</w:t>
      </w:r>
      <w:r>
        <w:rPr>
          <w:rStyle w:val="big-number"/>
          <w:rFonts w:cs="FrankRuehl"/>
          <w:sz w:val="26"/>
          <w:szCs w:val="26"/>
          <w:rtl/>
        </w:rPr>
        <w:t>.</w:t>
      </w:r>
      <w:r>
        <w:rPr>
          <w:rStyle w:val="big-number"/>
          <w:rFonts w:cs="FrankRuehl"/>
          <w:sz w:val="26"/>
          <w:szCs w:val="26"/>
          <w:rtl/>
        </w:rPr>
        <w:tab/>
      </w:r>
      <w:r w:rsidR="00EB359E">
        <w:rPr>
          <w:rStyle w:val="default"/>
          <w:rFonts w:cs="FrankRuehl" w:hint="cs"/>
          <w:rtl/>
        </w:rPr>
        <w:t>(א)</w:t>
      </w:r>
      <w:r w:rsidR="00EB359E">
        <w:rPr>
          <w:rStyle w:val="default"/>
          <w:rFonts w:cs="FrankRuehl" w:hint="cs"/>
          <w:rtl/>
        </w:rPr>
        <w:tab/>
        <w:t>ההנהלה תקבע את סדרי דיוניה, ככל שלא נקבעו בתקנות אלה</w:t>
      </w:r>
      <w:r>
        <w:rPr>
          <w:rStyle w:val="default"/>
          <w:rFonts w:cs="FrankRuehl"/>
          <w:rtl/>
        </w:rPr>
        <w:t>.</w:t>
      </w:r>
    </w:p>
    <w:p w:rsidR="00EB359E" w:rsidRDefault="00EB359E" w:rsidP="00EB35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החלטות ההנהלה יתקבלו ברוב קולות חברי ההנהלה; היו מספר הקולות שקולים </w:t>
      </w:r>
      <w:r>
        <w:rPr>
          <w:rStyle w:val="default"/>
          <w:rFonts w:cs="FrankRuehl"/>
          <w:rtl/>
        </w:rPr>
        <w:t>–</w:t>
      </w:r>
      <w:r>
        <w:rPr>
          <w:rStyle w:val="default"/>
          <w:rFonts w:cs="FrankRuehl" w:hint="cs"/>
          <w:rtl/>
        </w:rPr>
        <w:t xml:space="preserve"> יכריע קולו של היושב ראש.</w:t>
      </w:r>
    </w:p>
    <w:p w:rsidR="00EB359E" w:rsidRDefault="00EB359E" w:rsidP="00EB35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ההנהלה תתכנס אחת לרבעון לפחות.</w:t>
      </w:r>
    </w:p>
    <w:p w:rsidR="00EB359E" w:rsidRDefault="00EB359E" w:rsidP="00EB359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ההנהלה או מי שהוא מינה לכך ינהל פרוטוקול של עיקרי הדיון; הפרוטוקול יופץ בין חברי ההנהלה לצורך קבלת הערותיהם בסמוך למועד קיומה של הישיבה, וחברי ההנהלה יעבירו את הערותיהם לפרוטוקול לא יאוחר מ-10 ימים לאחר הפצתו; הפרוטוקול ייחתם ביד יושב ראש ההנהלה.</w:t>
      </w:r>
    </w:p>
    <w:p w:rsidR="00EB359E" w:rsidRDefault="00EB359E" w:rsidP="00EB359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ההנהלה תגיש דוח אחת לשנה ליושב ראש מועצת מקרקעי ישראל ובו יפורטו פעולות הקרן, הוצאות והכנסות הקרן וכל מידע נוסף שידרוש היושב ראש.</w:t>
      </w:r>
    </w:p>
    <w:p w:rsidR="00BF7083" w:rsidRDefault="00BF7083" w:rsidP="00EB359E">
      <w:pPr>
        <w:pStyle w:val="P00"/>
        <w:spacing w:before="72"/>
        <w:ind w:left="0" w:right="1134"/>
        <w:rPr>
          <w:rStyle w:val="default"/>
          <w:rFonts w:cs="FrankRuehl" w:hint="cs"/>
          <w:rtl/>
        </w:rPr>
      </w:pPr>
      <w:bookmarkStart w:id="12" w:name="Seif9"/>
      <w:bookmarkEnd w:id="12"/>
      <w:r>
        <w:rPr>
          <w:rFonts w:cs="Miriam"/>
          <w:lang w:val="he-IL"/>
        </w:rPr>
        <w:pict>
          <v:rect id="_x0000_s1365" style="position:absolute;left:0;text-align:left;margin-left:464.35pt;margin-top:7.1pt;width:75.05pt;height:11pt;z-index:251661312" o:allowincell="f" filled="f" stroked="f" strokecolor="lime" strokeweight=".25pt">
            <v:textbox style="mso-next-textbox:#_x0000_s1365" inset="0,0,0,0">
              <w:txbxContent>
                <w:p w:rsidR="00BF7083" w:rsidRDefault="00EB359E" w:rsidP="00BF7083">
                  <w:pPr>
                    <w:spacing w:line="160" w:lineRule="exact"/>
                    <w:rPr>
                      <w:rFonts w:cs="Miriam" w:hint="cs"/>
                      <w:noProof/>
                      <w:sz w:val="18"/>
                      <w:szCs w:val="18"/>
                      <w:rtl/>
                    </w:rPr>
                  </w:pPr>
                  <w:r>
                    <w:rPr>
                      <w:rFonts w:cs="Miriam" w:hint="cs"/>
                      <w:sz w:val="18"/>
                      <w:szCs w:val="18"/>
                      <w:rtl/>
                    </w:rPr>
                    <w:t>מניין חוקי</w:t>
                  </w:r>
                </w:p>
              </w:txbxContent>
            </v:textbox>
            <w10:anchorlock/>
          </v:rect>
        </w:pict>
      </w:r>
      <w:r w:rsidR="00EB359E">
        <w:rPr>
          <w:rStyle w:val="big-number"/>
          <w:rFonts w:cs="Miriam" w:hint="cs"/>
          <w:rtl/>
        </w:rPr>
        <w:t>9</w:t>
      </w:r>
      <w:r>
        <w:rPr>
          <w:rStyle w:val="big-number"/>
          <w:rFonts w:cs="FrankRuehl"/>
          <w:sz w:val="26"/>
          <w:szCs w:val="26"/>
          <w:rtl/>
        </w:rPr>
        <w:t>.</w:t>
      </w:r>
      <w:r>
        <w:rPr>
          <w:rStyle w:val="big-number"/>
          <w:rFonts w:cs="FrankRuehl"/>
          <w:sz w:val="26"/>
          <w:szCs w:val="26"/>
          <w:rtl/>
        </w:rPr>
        <w:tab/>
      </w:r>
      <w:r w:rsidR="00EB359E">
        <w:rPr>
          <w:rStyle w:val="default"/>
          <w:rFonts w:cs="FrankRuehl" w:hint="cs"/>
          <w:rtl/>
        </w:rPr>
        <w:t>(א)</w:t>
      </w:r>
      <w:r w:rsidR="00EB359E">
        <w:rPr>
          <w:rStyle w:val="default"/>
          <w:rFonts w:cs="FrankRuehl" w:hint="cs"/>
          <w:rtl/>
        </w:rPr>
        <w:tab/>
        <w:t>המניין החוקי לפתיחת ישיבה יהיה רוב חברי ההנהלה ובהם יושב ראש ההנהלה</w:t>
      </w:r>
      <w:r>
        <w:rPr>
          <w:rStyle w:val="default"/>
          <w:rFonts w:cs="FrankRuehl"/>
          <w:rtl/>
        </w:rPr>
        <w:t>.</w:t>
      </w:r>
    </w:p>
    <w:p w:rsidR="00EB359E" w:rsidRDefault="00EB359E" w:rsidP="00EB35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פחת מספר חברי ההנהלה במועד שנקבע לפתיחת הישיבה מהמניין החוקי, ידחה היושב ראש את המועד ב-30 דקות, ולאחר מכן יראו את המניין חוקי אף אם נכחו בישיבה שליש מחברי ההנהלה והיושב ראש בכללם.</w:t>
      </w:r>
    </w:p>
    <w:p w:rsidR="00EB359E" w:rsidRDefault="00EB359E" w:rsidP="00EB35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משנפתחה הישיבה כדין לפי תקנת משנה (א), יהיה המשך הישיבה כדין רק כל עוד נכחו במהלכה שני חברים נוסף על היושב ראש.</w:t>
      </w:r>
    </w:p>
    <w:p w:rsidR="00EB359E" w:rsidRPr="00EB359E" w:rsidRDefault="00EB359E" w:rsidP="00EB359E">
      <w:pPr>
        <w:pStyle w:val="medium2-header"/>
        <w:keepLines w:val="0"/>
        <w:spacing w:before="72"/>
        <w:ind w:left="0" w:right="1134"/>
        <w:rPr>
          <w:rFonts w:cs="FrankRuehl" w:hint="cs"/>
          <w:noProof/>
          <w:rtl/>
        </w:rPr>
      </w:pPr>
      <w:bookmarkStart w:id="13" w:name="med4"/>
      <w:bookmarkEnd w:id="13"/>
      <w:r w:rsidRPr="00EB359E">
        <w:rPr>
          <w:rFonts w:cs="FrankRuehl" w:hint="cs"/>
          <w:noProof/>
          <w:rtl/>
        </w:rPr>
        <w:t xml:space="preserve">פרק </w:t>
      </w:r>
      <w:r>
        <w:rPr>
          <w:rFonts w:cs="FrankRuehl" w:hint="cs"/>
          <w:noProof/>
          <w:rtl/>
        </w:rPr>
        <w:t>ה': תקבולים והוצאות</w:t>
      </w:r>
    </w:p>
    <w:p w:rsidR="00BF7083" w:rsidRDefault="00BF7083" w:rsidP="00EB359E">
      <w:pPr>
        <w:pStyle w:val="P00"/>
        <w:spacing w:before="72"/>
        <w:ind w:left="0" w:right="1134"/>
        <w:rPr>
          <w:rStyle w:val="default"/>
          <w:rFonts w:cs="FrankRuehl" w:hint="cs"/>
          <w:rtl/>
        </w:rPr>
      </w:pPr>
      <w:bookmarkStart w:id="14" w:name="Seif10"/>
      <w:bookmarkEnd w:id="14"/>
      <w:r>
        <w:rPr>
          <w:rFonts w:cs="Miriam"/>
          <w:lang w:val="he-IL"/>
        </w:rPr>
        <w:pict>
          <v:rect id="_x0000_s1366" style="position:absolute;left:0;text-align:left;margin-left:464.35pt;margin-top:7.1pt;width:75.05pt;height:11pt;z-index:251662336" o:allowincell="f" filled="f" stroked="f" strokecolor="lime" strokeweight=".25pt">
            <v:textbox style="mso-next-textbox:#_x0000_s1366" inset="0,0,0,0">
              <w:txbxContent>
                <w:p w:rsidR="00BF7083" w:rsidRDefault="00EB359E" w:rsidP="00BF7083">
                  <w:pPr>
                    <w:spacing w:line="160" w:lineRule="exact"/>
                    <w:rPr>
                      <w:rFonts w:cs="Miriam" w:hint="cs"/>
                      <w:noProof/>
                      <w:sz w:val="18"/>
                      <w:szCs w:val="18"/>
                      <w:rtl/>
                    </w:rPr>
                  </w:pPr>
                  <w:r>
                    <w:rPr>
                      <w:rFonts w:cs="Miriam" w:hint="cs"/>
                      <w:sz w:val="18"/>
                      <w:szCs w:val="18"/>
                      <w:rtl/>
                    </w:rPr>
                    <w:t>תקבולים והוצאות</w:t>
                  </w:r>
                </w:p>
              </w:txbxContent>
            </v:textbox>
            <w10:anchorlock/>
          </v:rect>
        </w:pict>
      </w:r>
      <w:r w:rsidR="00EB359E">
        <w:rPr>
          <w:rStyle w:val="big-number"/>
          <w:rFonts w:cs="Miriam" w:hint="cs"/>
          <w:rtl/>
        </w:rPr>
        <w:t>10</w:t>
      </w:r>
      <w:r>
        <w:rPr>
          <w:rStyle w:val="big-number"/>
          <w:rFonts w:cs="FrankRuehl"/>
          <w:sz w:val="26"/>
          <w:szCs w:val="26"/>
          <w:rtl/>
        </w:rPr>
        <w:t>.</w:t>
      </w:r>
      <w:r>
        <w:rPr>
          <w:rStyle w:val="big-number"/>
          <w:rFonts w:cs="FrankRuehl"/>
          <w:sz w:val="26"/>
          <w:szCs w:val="26"/>
          <w:rtl/>
        </w:rPr>
        <w:tab/>
      </w:r>
      <w:r w:rsidR="00EB359E">
        <w:rPr>
          <w:rStyle w:val="default"/>
          <w:rFonts w:cs="FrankRuehl" w:hint="cs"/>
          <w:rtl/>
        </w:rPr>
        <w:t>(א)</w:t>
      </w:r>
      <w:r w:rsidR="00EB359E">
        <w:rPr>
          <w:rStyle w:val="default"/>
          <w:rFonts w:cs="FrankRuehl" w:hint="cs"/>
          <w:rtl/>
        </w:rPr>
        <w:tab/>
        <w:t>תקציב הקרן בשיעור 1%, בכל שנה, מכלל הכנסות הרשות באותה שנה, ייקבע בחוק התקציב השנתי בתחום פעולה נפרד במסגרת תקציב הרשות; לעניין זה, "חוק התקציב השנתי" ו"תחום פעולה" כמשמעותם בחוק יסודות התקציב, התשמ"ה-1985</w:t>
      </w:r>
      <w:r>
        <w:rPr>
          <w:rStyle w:val="default"/>
          <w:rFonts w:cs="FrankRuehl"/>
          <w:rtl/>
        </w:rPr>
        <w:t>.</w:t>
      </w:r>
    </w:p>
    <w:p w:rsidR="00EB359E" w:rsidRDefault="00EB359E" w:rsidP="00EB35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43D1B">
        <w:rPr>
          <w:rStyle w:val="default"/>
          <w:rFonts w:cs="FrankRuehl" w:hint="cs"/>
          <w:rtl/>
        </w:rPr>
        <w:t>חשב הרשות יגיש להנהלת הקרן דוח ביצוע תקציב לכל רבעון.</w:t>
      </w:r>
    </w:p>
    <w:p w:rsidR="00143D1B" w:rsidRDefault="00143D1B" w:rsidP="00EB35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תקבולי הקרן מיועדים אך ורק למימון פעולות הקרן בהתאם למטרותיה ובכפוף לאישורם במסגרת תקציב הקרן.</w:t>
      </w:r>
    </w:p>
    <w:p w:rsidR="00143D1B" w:rsidRDefault="00143D1B" w:rsidP="00EB359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נוצל התקציב העומד לרשות הקרן על פי החוק בשנה אחת, יעמוד לרשות הקרן סכום היתרה בשנת התקציב העוקבת.</w:t>
      </w:r>
    </w:p>
    <w:p w:rsidR="000A51DD" w:rsidRDefault="000A51DD">
      <w:pPr>
        <w:pStyle w:val="P00"/>
        <w:spacing w:before="72"/>
        <w:ind w:left="0" w:right="1134"/>
        <w:rPr>
          <w:rStyle w:val="default"/>
          <w:rFonts w:cs="FrankRuehl" w:hint="cs"/>
          <w:rtl/>
        </w:rPr>
      </w:pPr>
    </w:p>
    <w:p w:rsidR="000A51DD" w:rsidRDefault="000A51DD">
      <w:pPr>
        <w:pStyle w:val="P00"/>
        <w:spacing w:before="72"/>
        <w:ind w:left="0" w:right="1134"/>
        <w:rPr>
          <w:rStyle w:val="default"/>
          <w:rFonts w:cs="FrankRuehl" w:hint="cs"/>
          <w:rtl/>
        </w:rPr>
      </w:pPr>
    </w:p>
    <w:p w:rsidR="00213C00" w:rsidRDefault="00143D1B" w:rsidP="00143D1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ד' בטבת התשע"ב (30 בדצמבר 2011)</w:t>
      </w:r>
      <w:r w:rsidR="00213C00">
        <w:rPr>
          <w:rStyle w:val="default"/>
          <w:rFonts w:cs="FrankRuehl" w:hint="cs"/>
          <w:rtl/>
        </w:rPr>
        <w:tab/>
      </w:r>
      <w:r>
        <w:rPr>
          <w:rStyle w:val="default"/>
          <w:rFonts w:cs="FrankRuehl" w:hint="cs"/>
          <w:rtl/>
        </w:rPr>
        <w:t>אריאל אטיאס</w:t>
      </w:r>
    </w:p>
    <w:p w:rsidR="00213C00" w:rsidRDefault="00213C00" w:rsidP="00143D1B">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143D1B">
        <w:rPr>
          <w:rFonts w:cs="FrankRuehl" w:hint="cs"/>
          <w:sz w:val="22"/>
          <w:szCs w:val="22"/>
          <w:rtl/>
        </w:rPr>
        <w:t>הבינוי והשיכון</w:t>
      </w:r>
    </w:p>
    <w:p w:rsidR="00BF7083" w:rsidRPr="006A0293" w:rsidRDefault="00BF7083"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4C72CB" w:rsidRDefault="004C72CB" w:rsidP="006A0293">
      <w:pPr>
        <w:pStyle w:val="P00"/>
        <w:spacing w:before="72"/>
        <w:ind w:left="0" w:right="1134"/>
        <w:rPr>
          <w:rStyle w:val="default"/>
          <w:rFonts w:cs="FrankRuehl"/>
          <w:rtl/>
        </w:rPr>
      </w:pPr>
    </w:p>
    <w:p w:rsidR="004C72CB" w:rsidRDefault="004C72CB" w:rsidP="006A0293">
      <w:pPr>
        <w:pStyle w:val="P00"/>
        <w:spacing w:before="72"/>
        <w:ind w:left="0" w:right="1134"/>
        <w:rPr>
          <w:rStyle w:val="default"/>
          <w:rFonts w:cs="FrankRuehl"/>
          <w:rtl/>
        </w:rPr>
      </w:pPr>
    </w:p>
    <w:p w:rsidR="004C72CB" w:rsidRDefault="004C72CB" w:rsidP="004C72CB">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651343" w:rsidRDefault="00651343" w:rsidP="004C72CB">
      <w:pPr>
        <w:pStyle w:val="P00"/>
        <w:spacing w:before="72"/>
        <w:ind w:left="0" w:right="1134"/>
        <w:jc w:val="center"/>
        <w:rPr>
          <w:rStyle w:val="default"/>
          <w:rFonts w:cs="David"/>
          <w:color w:val="0000FF"/>
          <w:szCs w:val="24"/>
          <w:u w:val="single"/>
          <w:rtl/>
        </w:rPr>
      </w:pPr>
    </w:p>
    <w:p w:rsidR="00651343" w:rsidRDefault="00651343" w:rsidP="004C72CB">
      <w:pPr>
        <w:pStyle w:val="P00"/>
        <w:spacing w:before="72"/>
        <w:ind w:left="0" w:right="1134"/>
        <w:jc w:val="center"/>
        <w:rPr>
          <w:rStyle w:val="default"/>
          <w:rFonts w:cs="David"/>
          <w:color w:val="0000FF"/>
          <w:szCs w:val="24"/>
          <w:u w:val="single"/>
          <w:rtl/>
        </w:rPr>
      </w:pPr>
    </w:p>
    <w:p w:rsidR="00651343" w:rsidRDefault="00651343" w:rsidP="00651343">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F850ED" w:rsidRPr="00651343" w:rsidRDefault="00F850ED" w:rsidP="00651343">
      <w:pPr>
        <w:pStyle w:val="P00"/>
        <w:spacing w:before="72"/>
        <w:ind w:left="0" w:right="1134"/>
        <w:jc w:val="center"/>
        <w:rPr>
          <w:rStyle w:val="default"/>
          <w:rFonts w:cs="David"/>
          <w:color w:val="0000FF"/>
          <w:szCs w:val="24"/>
          <w:u w:val="single"/>
          <w:rtl/>
        </w:rPr>
      </w:pPr>
    </w:p>
    <w:sectPr w:rsidR="00F850ED" w:rsidRPr="0065134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770E" w:rsidRDefault="00DE770E">
      <w:r>
        <w:separator/>
      </w:r>
    </w:p>
  </w:endnote>
  <w:endnote w:type="continuationSeparator" w:id="0">
    <w:p w:rsidR="00DE770E" w:rsidRDefault="00DE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1343">
      <w:rPr>
        <w:rFonts w:cs="TopType Jerushalmi"/>
        <w:noProof/>
        <w:color w:val="000000"/>
        <w:sz w:val="14"/>
        <w:szCs w:val="14"/>
      </w:rPr>
      <w:t>Z:\00000000000000000000000=2014------------------------\05-May\2014-05-28\LawsForHofit\01\500_653.doc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51343">
      <w:rPr>
        <w:rFonts w:hAnsi="FrankRuehl" w:cs="FrankRuehl"/>
        <w:noProof/>
        <w:sz w:val="24"/>
        <w:szCs w:val="24"/>
        <w:rtl/>
      </w:rPr>
      <w:t>4</w:t>
    </w:r>
    <w:r>
      <w:rPr>
        <w:rFonts w:hAnsi="FrankRuehl" w:cs="FrankRuehl"/>
        <w:sz w:val="24"/>
        <w:szCs w:val="24"/>
        <w:rtl/>
      </w:rPr>
      <w:fldChar w:fldCharType="end"/>
    </w:r>
  </w:p>
  <w:p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1343">
      <w:rPr>
        <w:rFonts w:cs="TopType Jerushalmi"/>
        <w:noProof/>
        <w:color w:val="000000"/>
        <w:sz w:val="14"/>
        <w:szCs w:val="14"/>
      </w:rPr>
      <w:t>Z:\00000000000000000000000=2014------------------------\05-May\2014-05-28\LawsForHofit\01\500_653.doc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770E" w:rsidRDefault="00DE770E">
      <w:pPr>
        <w:pStyle w:val="a5"/>
        <w:rPr>
          <w:rFonts w:cs="David"/>
          <w:sz w:val="24"/>
          <w:szCs w:val="24"/>
        </w:rPr>
      </w:pPr>
      <w:r>
        <w:separator/>
      </w:r>
    </w:p>
  </w:footnote>
  <w:footnote w:type="continuationSeparator" w:id="0">
    <w:p w:rsidR="00DE770E" w:rsidRDefault="00DE770E">
      <w:r>
        <w:continuationSeparator/>
      </w:r>
    </w:p>
  </w:footnote>
  <w:footnote w:id="1">
    <w:p w:rsidR="00B156E6" w:rsidRDefault="000A51DD" w:rsidP="00B156E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D26896">
        <w:rPr>
          <w:rFonts w:cs="FrankRuehl" w:hint="cs"/>
          <w:rtl/>
        </w:rPr>
        <w:t xml:space="preserve">מו </w:t>
      </w:r>
      <w:hyperlink r:id="rId1" w:history="1">
        <w:r w:rsidR="00D26896" w:rsidRPr="00D26896">
          <w:rPr>
            <w:rStyle w:val="Hyperlink"/>
            <w:rFonts w:cs="FrankRuehl" w:hint="cs"/>
            <w:rtl/>
          </w:rPr>
          <w:t>ק"ת תשע"ב מס' 7099</w:t>
        </w:r>
      </w:hyperlink>
      <w:r w:rsidR="00D26896">
        <w:rPr>
          <w:rFonts w:cs="FrankRuehl" w:hint="cs"/>
          <w:rtl/>
        </w:rPr>
        <w:t xml:space="preserve"> מיום 13.3.2012 עמ' 880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D301B" w:rsidP="00C16B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רשות מקרקעי ישראל (קרן לשמירה על שטחים פתוחים)</w:t>
    </w:r>
    <w:r w:rsidR="00D66218">
      <w:rPr>
        <w:rFonts w:hAnsi="FrankRuehl" w:cs="FrankRuehl" w:hint="cs"/>
        <w:color w:val="000000"/>
        <w:sz w:val="28"/>
        <w:szCs w:val="28"/>
        <w:rtl/>
      </w:rPr>
      <w:t>,</w:t>
    </w:r>
    <w:r w:rsidR="00736981">
      <w:rPr>
        <w:rFonts w:hAnsi="FrankRuehl" w:cs="FrankRuehl" w:hint="cs"/>
        <w:color w:val="000000"/>
        <w:sz w:val="28"/>
        <w:szCs w:val="28"/>
        <w:rtl/>
      </w:rPr>
      <w:t xml:space="preserve"> </w:t>
    </w:r>
    <w:r w:rsidR="00FE583C">
      <w:rPr>
        <w:rFonts w:hAnsi="FrankRuehl" w:cs="FrankRuehl" w:hint="cs"/>
        <w:color w:val="000000"/>
        <w:sz w:val="28"/>
        <w:szCs w:val="28"/>
        <w:rtl/>
      </w:rPr>
      <w:t>תשע"</w:t>
    </w:r>
    <w:r w:rsidR="00C16BF1">
      <w:rPr>
        <w:rFonts w:hAnsi="FrankRuehl" w:cs="FrankRuehl" w:hint="cs"/>
        <w:color w:val="000000"/>
        <w:sz w:val="28"/>
        <w:szCs w:val="28"/>
        <w:rtl/>
      </w:rPr>
      <w:t>ב-2012</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77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919C7"/>
    <w:rsid w:val="000A51DD"/>
    <w:rsid w:val="000A60D1"/>
    <w:rsid w:val="000D301B"/>
    <w:rsid w:val="000E2C54"/>
    <w:rsid w:val="00143D1B"/>
    <w:rsid w:val="0019693F"/>
    <w:rsid w:val="001D5802"/>
    <w:rsid w:val="00213C00"/>
    <w:rsid w:val="002A3B2F"/>
    <w:rsid w:val="002D088D"/>
    <w:rsid w:val="002F2484"/>
    <w:rsid w:val="003504C5"/>
    <w:rsid w:val="00373414"/>
    <w:rsid w:val="003A52FC"/>
    <w:rsid w:val="003E13AE"/>
    <w:rsid w:val="00417E2E"/>
    <w:rsid w:val="00485313"/>
    <w:rsid w:val="00493062"/>
    <w:rsid w:val="004C72CB"/>
    <w:rsid w:val="00502D32"/>
    <w:rsid w:val="00534BF7"/>
    <w:rsid w:val="005C4C1C"/>
    <w:rsid w:val="00651343"/>
    <w:rsid w:val="006A0293"/>
    <w:rsid w:val="006A5E67"/>
    <w:rsid w:val="00736981"/>
    <w:rsid w:val="007E70F4"/>
    <w:rsid w:val="008612E0"/>
    <w:rsid w:val="00881D2D"/>
    <w:rsid w:val="008C134D"/>
    <w:rsid w:val="00901717"/>
    <w:rsid w:val="00917DEC"/>
    <w:rsid w:val="00930E30"/>
    <w:rsid w:val="00933194"/>
    <w:rsid w:val="009769DC"/>
    <w:rsid w:val="009E1E89"/>
    <w:rsid w:val="009E238F"/>
    <w:rsid w:val="009E3965"/>
    <w:rsid w:val="009E4684"/>
    <w:rsid w:val="00A705B4"/>
    <w:rsid w:val="00A95C7F"/>
    <w:rsid w:val="00AA581E"/>
    <w:rsid w:val="00B156E6"/>
    <w:rsid w:val="00B1671F"/>
    <w:rsid w:val="00B50715"/>
    <w:rsid w:val="00B842A5"/>
    <w:rsid w:val="00B96EE8"/>
    <w:rsid w:val="00BF7083"/>
    <w:rsid w:val="00C14403"/>
    <w:rsid w:val="00C16BF1"/>
    <w:rsid w:val="00C46C7B"/>
    <w:rsid w:val="00C556EE"/>
    <w:rsid w:val="00C73846"/>
    <w:rsid w:val="00C857FD"/>
    <w:rsid w:val="00D26896"/>
    <w:rsid w:val="00D31AC1"/>
    <w:rsid w:val="00D44372"/>
    <w:rsid w:val="00D527AA"/>
    <w:rsid w:val="00D66218"/>
    <w:rsid w:val="00DE770E"/>
    <w:rsid w:val="00E41B95"/>
    <w:rsid w:val="00EA53F9"/>
    <w:rsid w:val="00EB359E"/>
    <w:rsid w:val="00F37BF0"/>
    <w:rsid w:val="00F72603"/>
    <w:rsid w:val="00F850ED"/>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0DE58AD-F50E-4A70-9027-8134F069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mmi.gov.i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7559</CharactersWithSpaces>
  <SharedDoc>false</SharedDoc>
  <HLinks>
    <vt:vector size="114" baseType="variant">
      <vt:variant>
        <vt:i4>393283</vt:i4>
      </vt:variant>
      <vt:variant>
        <vt:i4>96</vt:i4>
      </vt:variant>
      <vt:variant>
        <vt:i4>0</vt:i4>
      </vt:variant>
      <vt:variant>
        <vt:i4>5</vt:i4>
      </vt:variant>
      <vt:variant>
        <vt:lpwstr>http://www.nevo.co.il/advertisements/nevo-100.doc</vt:lpwstr>
      </vt:variant>
      <vt:variant>
        <vt:lpwstr/>
      </vt:variant>
      <vt:variant>
        <vt:i4>393283</vt:i4>
      </vt:variant>
      <vt:variant>
        <vt:i4>93</vt:i4>
      </vt:variant>
      <vt:variant>
        <vt:i4>0</vt:i4>
      </vt:variant>
      <vt:variant>
        <vt:i4>5</vt:i4>
      </vt:variant>
      <vt:variant>
        <vt:lpwstr>http://www.nevo.co.il/advertisements/nevo-100.doc</vt:lpwstr>
      </vt:variant>
      <vt:variant>
        <vt:lpwstr/>
      </vt:variant>
      <vt:variant>
        <vt:i4>7864382</vt:i4>
      </vt:variant>
      <vt:variant>
        <vt:i4>90</vt:i4>
      </vt:variant>
      <vt:variant>
        <vt:i4>0</vt:i4>
      </vt:variant>
      <vt:variant>
        <vt:i4>5</vt:i4>
      </vt:variant>
      <vt:variant>
        <vt:lpwstr>http://www.mmi.gov.il/</vt:lpwstr>
      </vt:variant>
      <vt:variant>
        <vt:lpwstr/>
      </vt:variant>
      <vt:variant>
        <vt:i4>3342379</vt:i4>
      </vt:variant>
      <vt:variant>
        <vt:i4>84</vt:i4>
      </vt:variant>
      <vt:variant>
        <vt:i4>0</vt:i4>
      </vt:variant>
      <vt:variant>
        <vt:i4>5</vt:i4>
      </vt:variant>
      <vt:variant>
        <vt:lpwstr/>
      </vt:variant>
      <vt:variant>
        <vt:lpwstr>Seif10</vt:lpwstr>
      </vt:variant>
      <vt:variant>
        <vt:i4>5308425</vt:i4>
      </vt:variant>
      <vt:variant>
        <vt:i4>78</vt:i4>
      </vt:variant>
      <vt:variant>
        <vt:i4>0</vt:i4>
      </vt:variant>
      <vt:variant>
        <vt:i4>5</vt:i4>
      </vt:variant>
      <vt:variant>
        <vt:lpwstr/>
      </vt:variant>
      <vt:variant>
        <vt:lpwstr>med4</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7798785</vt:i4>
      </vt:variant>
      <vt:variant>
        <vt:i4>0</vt:i4>
      </vt:variant>
      <vt:variant>
        <vt:i4>0</vt:i4>
      </vt:variant>
      <vt:variant>
        <vt:i4>5</vt:i4>
      </vt:variant>
      <vt:variant>
        <vt:lpwstr>http://www.nevo.co.il/Law_word/law06/tak-7099.pdf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רשות מקרקעי ישראל (קרן לשמירה על שטחים פתוחים), תשע"ב-2012</vt:lpwstr>
  </property>
  <property fmtid="{D5CDD505-2E9C-101B-9397-08002B2CF9AE}" pid="4" name="LAWNUMBER">
    <vt:lpwstr>0653</vt:lpwstr>
  </property>
  <property fmtid="{D5CDD505-2E9C-101B-9397-08002B2CF9AE}" pid="5" name="TYPE">
    <vt:lpwstr>01</vt:lpwstr>
  </property>
  <property fmtid="{D5CDD505-2E9C-101B-9397-08002B2CF9AE}" pid="6" name="CHNAME">
    <vt:lpwstr>מקרקעין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חקלאות טבע וסביבה</vt:lpwstr>
  </property>
  <property fmtid="{D5CDD505-2E9C-101B-9397-08002B2CF9AE}" pid="22" name="NOSE21">
    <vt:lpwstr>הגנת הסביבה</vt:lpwstr>
  </property>
  <property fmtid="{D5CDD505-2E9C-101B-9397-08002B2CF9AE}" pid="23" name="NOSE31">
    <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קניין</vt:lpwstr>
  </property>
  <property fmtid="{D5CDD505-2E9C-101B-9397-08002B2CF9AE}" pid="27" name="NOSE32">
    <vt:lpwstr>מקרקעין</vt:lpwstr>
  </property>
  <property fmtid="{D5CDD505-2E9C-101B-9397-08002B2CF9AE}" pid="28" name="NOSE42">
    <vt:lpwstr>מקרקעי ישראל</vt:lpwstr>
  </property>
  <property fmtid="{D5CDD505-2E9C-101B-9397-08002B2CF9AE}" pid="29" name="NOSE13">
    <vt:lpwstr>רשויות ומשפט מנהלי</vt:lpwstr>
  </property>
  <property fmtid="{D5CDD505-2E9C-101B-9397-08002B2CF9AE}" pid="30" name="NOSE23">
    <vt:lpwstr>תכנון ובניה</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רשות מקרקעי ישראל</vt:lpwstr>
  </property>
  <property fmtid="{D5CDD505-2E9C-101B-9397-08002B2CF9AE}" pid="63" name="MEKOR_SAIF1">
    <vt:lpwstr>4כבX</vt:lpwstr>
  </property>
  <property fmtid="{D5CDD505-2E9C-101B-9397-08002B2CF9AE}" pid="64" name="LINKK1">
    <vt:lpwstr>http://www.nevo.co.il/Law_word/law06/tak-7099.pdf;רשומות - תקנות כלליות#פורסמו ק"ת תשע"ב מס' 7099 #מיום 13.3.2012 עמ' 880</vt:lpwstr>
  </property>
</Properties>
</file>