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030C" w14:textId="77777777" w:rsidR="00D25D5C" w:rsidRDefault="00B22707" w:rsidP="00D81CBF">
      <w:pPr>
        <w:pStyle w:val="big-header"/>
        <w:ind w:left="0" w:right="1134"/>
        <w:rPr>
          <w:rFonts w:cs="FrankRuehl"/>
          <w:sz w:val="32"/>
        </w:rPr>
      </w:pPr>
      <w:r>
        <w:rPr>
          <w:rFonts w:cs="FrankRuehl" w:hint="cs"/>
          <w:sz w:val="32"/>
          <w:rtl/>
        </w:rPr>
        <w:t xml:space="preserve">תקנות </w:t>
      </w:r>
      <w:r w:rsidR="00D81CBF">
        <w:rPr>
          <w:rFonts w:cs="FrankRuehl" w:hint="cs"/>
          <w:sz w:val="32"/>
          <w:rtl/>
        </w:rPr>
        <w:t>שוויון הזדמנויות בעבודה (תקופת כהונה וסדרי עבודה של הוועדה המייעצת</w:t>
      </w:r>
      <w:r w:rsidR="00F651D4">
        <w:rPr>
          <w:rFonts w:cs="FrankRuehl" w:hint="cs"/>
          <w:sz w:val="32"/>
          <w:rtl/>
        </w:rPr>
        <w:t>)</w:t>
      </w:r>
      <w:r w:rsidR="008C2526">
        <w:rPr>
          <w:rFonts w:cs="FrankRuehl" w:hint="cs"/>
          <w:sz w:val="32"/>
          <w:rtl/>
        </w:rPr>
        <w:t>, תשס"ט-2009</w:t>
      </w:r>
    </w:p>
    <w:p w14:paraId="2332A273" w14:textId="77777777" w:rsidR="00581F7F" w:rsidRPr="00581F7F" w:rsidRDefault="00581F7F" w:rsidP="00581F7F">
      <w:pPr>
        <w:spacing w:line="320" w:lineRule="auto"/>
        <w:jc w:val="left"/>
        <w:rPr>
          <w:rFonts w:cs="FrankRuehl"/>
          <w:szCs w:val="26"/>
          <w:rtl/>
        </w:rPr>
      </w:pPr>
    </w:p>
    <w:p w14:paraId="688EED5E" w14:textId="77777777" w:rsidR="00581F7F" w:rsidRDefault="00581F7F" w:rsidP="00581F7F">
      <w:pPr>
        <w:spacing w:line="320" w:lineRule="auto"/>
        <w:jc w:val="left"/>
        <w:rPr>
          <w:rtl/>
        </w:rPr>
      </w:pPr>
    </w:p>
    <w:p w14:paraId="4E3515F3" w14:textId="77777777" w:rsidR="00581F7F" w:rsidRDefault="00581F7F" w:rsidP="00581F7F">
      <w:pPr>
        <w:spacing w:line="320" w:lineRule="auto"/>
        <w:jc w:val="left"/>
        <w:rPr>
          <w:rFonts w:cs="FrankRuehl"/>
          <w:szCs w:val="26"/>
          <w:rtl/>
        </w:rPr>
      </w:pPr>
      <w:r w:rsidRPr="00581F7F">
        <w:rPr>
          <w:rFonts w:cs="Miriam"/>
          <w:szCs w:val="22"/>
          <w:rtl/>
        </w:rPr>
        <w:t xml:space="preserve">דיני חוקה </w:t>
      </w:r>
      <w:r w:rsidRPr="00581F7F">
        <w:rPr>
          <w:rFonts w:cs="FrankRuehl"/>
          <w:szCs w:val="26"/>
          <w:rtl/>
        </w:rPr>
        <w:t xml:space="preserve"> – שוויון – הזדמנויות בעבודה</w:t>
      </w:r>
    </w:p>
    <w:p w14:paraId="6597ED35" w14:textId="77777777" w:rsidR="00581F7F" w:rsidRPr="00581F7F" w:rsidRDefault="00581F7F" w:rsidP="00581F7F">
      <w:pPr>
        <w:spacing w:line="320" w:lineRule="auto"/>
        <w:jc w:val="left"/>
        <w:rPr>
          <w:rFonts w:cs="Miriam"/>
          <w:szCs w:val="22"/>
          <w:rtl/>
        </w:rPr>
      </w:pPr>
      <w:r w:rsidRPr="00581F7F">
        <w:rPr>
          <w:rFonts w:cs="Miriam"/>
          <w:szCs w:val="22"/>
          <w:rtl/>
        </w:rPr>
        <w:t>עבודה</w:t>
      </w:r>
      <w:r w:rsidRPr="00581F7F">
        <w:rPr>
          <w:rFonts w:cs="FrankRuehl"/>
          <w:szCs w:val="26"/>
          <w:rtl/>
        </w:rPr>
        <w:t xml:space="preserve"> – שוויון בעבודה</w:t>
      </w:r>
    </w:p>
    <w:p w14:paraId="1073F39B"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7393" w:rsidRPr="00177393" w14:paraId="5F27D901" w14:textId="77777777">
        <w:tblPrEx>
          <w:tblCellMar>
            <w:top w:w="0" w:type="dxa"/>
            <w:bottom w:w="0" w:type="dxa"/>
          </w:tblCellMar>
        </w:tblPrEx>
        <w:tc>
          <w:tcPr>
            <w:tcW w:w="1247" w:type="dxa"/>
          </w:tcPr>
          <w:p w14:paraId="4B55439F" w14:textId="77777777" w:rsidR="00177393" w:rsidRPr="00177393" w:rsidRDefault="00177393" w:rsidP="00177393">
            <w:pPr>
              <w:spacing w:line="240" w:lineRule="auto"/>
              <w:jc w:val="left"/>
              <w:rPr>
                <w:rFonts w:cs="Frankruhel"/>
                <w:sz w:val="24"/>
                <w:rtl/>
              </w:rPr>
            </w:pPr>
            <w:r>
              <w:rPr>
                <w:rFonts w:cs="Times New Roman"/>
                <w:sz w:val="24"/>
                <w:rtl/>
              </w:rPr>
              <w:t xml:space="preserve">סעיף 1 </w:t>
            </w:r>
          </w:p>
        </w:tc>
        <w:tc>
          <w:tcPr>
            <w:tcW w:w="5669" w:type="dxa"/>
          </w:tcPr>
          <w:p w14:paraId="210FFB16" w14:textId="77777777" w:rsidR="00177393" w:rsidRPr="00177393" w:rsidRDefault="00177393" w:rsidP="00177393">
            <w:pPr>
              <w:spacing w:line="240" w:lineRule="auto"/>
              <w:jc w:val="left"/>
              <w:rPr>
                <w:rFonts w:cs="Frankruhel"/>
                <w:sz w:val="24"/>
                <w:rtl/>
              </w:rPr>
            </w:pPr>
            <w:r>
              <w:rPr>
                <w:rFonts w:cs="Times New Roman"/>
                <w:sz w:val="24"/>
                <w:rtl/>
              </w:rPr>
              <w:t>הגדרות</w:t>
            </w:r>
          </w:p>
        </w:tc>
        <w:tc>
          <w:tcPr>
            <w:tcW w:w="567" w:type="dxa"/>
          </w:tcPr>
          <w:p w14:paraId="7D204A0A" w14:textId="77777777" w:rsidR="00177393" w:rsidRPr="00177393" w:rsidRDefault="00177393" w:rsidP="00177393">
            <w:pPr>
              <w:spacing w:line="240" w:lineRule="auto"/>
              <w:jc w:val="left"/>
              <w:rPr>
                <w:rStyle w:val="Hyperlink"/>
                <w:rtl/>
              </w:rPr>
            </w:pPr>
            <w:hyperlink w:anchor="Seif1" w:tooltip="הגדרות" w:history="1">
              <w:r w:rsidRPr="00177393">
                <w:rPr>
                  <w:rStyle w:val="Hyperlink"/>
                </w:rPr>
                <w:t>Go</w:t>
              </w:r>
            </w:hyperlink>
          </w:p>
        </w:tc>
        <w:tc>
          <w:tcPr>
            <w:tcW w:w="850" w:type="dxa"/>
          </w:tcPr>
          <w:p w14:paraId="5AC553AC"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77401ED6" w14:textId="77777777">
        <w:tblPrEx>
          <w:tblCellMar>
            <w:top w:w="0" w:type="dxa"/>
            <w:bottom w:w="0" w:type="dxa"/>
          </w:tblCellMar>
        </w:tblPrEx>
        <w:tc>
          <w:tcPr>
            <w:tcW w:w="1247" w:type="dxa"/>
          </w:tcPr>
          <w:p w14:paraId="16BCEE4E" w14:textId="77777777" w:rsidR="00177393" w:rsidRPr="00177393" w:rsidRDefault="00177393" w:rsidP="00177393">
            <w:pPr>
              <w:spacing w:line="240" w:lineRule="auto"/>
              <w:jc w:val="left"/>
              <w:rPr>
                <w:rFonts w:cs="Frankruhel"/>
                <w:sz w:val="24"/>
                <w:rtl/>
              </w:rPr>
            </w:pPr>
            <w:r>
              <w:rPr>
                <w:rFonts w:cs="Times New Roman"/>
                <w:sz w:val="24"/>
                <w:rtl/>
              </w:rPr>
              <w:t xml:space="preserve">סעיף 2 </w:t>
            </w:r>
          </w:p>
        </w:tc>
        <w:tc>
          <w:tcPr>
            <w:tcW w:w="5669" w:type="dxa"/>
          </w:tcPr>
          <w:p w14:paraId="690EF23C" w14:textId="77777777" w:rsidR="00177393" w:rsidRPr="00177393" w:rsidRDefault="00177393" w:rsidP="00177393">
            <w:pPr>
              <w:spacing w:line="240" w:lineRule="auto"/>
              <w:jc w:val="left"/>
              <w:rPr>
                <w:rFonts w:cs="Frankruhel"/>
                <w:sz w:val="24"/>
                <w:rtl/>
              </w:rPr>
            </w:pPr>
            <w:r>
              <w:rPr>
                <w:rFonts w:cs="Times New Roman"/>
                <w:sz w:val="24"/>
                <w:rtl/>
              </w:rPr>
              <w:t>תקופת כהונה</w:t>
            </w:r>
          </w:p>
        </w:tc>
        <w:tc>
          <w:tcPr>
            <w:tcW w:w="567" w:type="dxa"/>
          </w:tcPr>
          <w:p w14:paraId="7D6FE812" w14:textId="77777777" w:rsidR="00177393" w:rsidRPr="00177393" w:rsidRDefault="00177393" w:rsidP="00177393">
            <w:pPr>
              <w:spacing w:line="240" w:lineRule="auto"/>
              <w:jc w:val="left"/>
              <w:rPr>
                <w:rStyle w:val="Hyperlink"/>
                <w:rtl/>
              </w:rPr>
            </w:pPr>
            <w:hyperlink w:anchor="Seif2" w:tooltip="תקופת כהונה" w:history="1">
              <w:r w:rsidRPr="00177393">
                <w:rPr>
                  <w:rStyle w:val="Hyperlink"/>
                </w:rPr>
                <w:t>Go</w:t>
              </w:r>
            </w:hyperlink>
          </w:p>
        </w:tc>
        <w:tc>
          <w:tcPr>
            <w:tcW w:w="850" w:type="dxa"/>
          </w:tcPr>
          <w:p w14:paraId="4926F98B"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350B2F88" w14:textId="77777777">
        <w:tblPrEx>
          <w:tblCellMar>
            <w:top w:w="0" w:type="dxa"/>
            <w:bottom w:w="0" w:type="dxa"/>
          </w:tblCellMar>
        </w:tblPrEx>
        <w:tc>
          <w:tcPr>
            <w:tcW w:w="1247" w:type="dxa"/>
          </w:tcPr>
          <w:p w14:paraId="71EBF3AC" w14:textId="77777777" w:rsidR="00177393" w:rsidRPr="00177393" w:rsidRDefault="00177393" w:rsidP="00177393">
            <w:pPr>
              <w:spacing w:line="240" w:lineRule="auto"/>
              <w:jc w:val="left"/>
              <w:rPr>
                <w:rFonts w:cs="Frankruhel"/>
                <w:sz w:val="24"/>
                <w:rtl/>
              </w:rPr>
            </w:pPr>
            <w:r>
              <w:rPr>
                <w:rFonts w:cs="Times New Roman"/>
                <w:sz w:val="24"/>
                <w:rtl/>
              </w:rPr>
              <w:t xml:space="preserve">סעיף 3 </w:t>
            </w:r>
          </w:p>
        </w:tc>
        <w:tc>
          <w:tcPr>
            <w:tcW w:w="5669" w:type="dxa"/>
          </w:tcPr>
          <w:p w14:paraId="03EFF81D" w14:textId="77777777" w:rsidR="00177393" w:rsidRPr="00177393" w:rsidRDefault="00177393" w:rsidP="00177393">
            <w:pPr>
              <w:spacing w:line="240" w:lineRule="auto"/>
              <w:jc w:val="left"/>
              <w:rPr>
                <w:rFonts w:cs="Frankruhel"/>
                <w:sz w:val="24"/>
                <w:rtl/>
              </w:rPr>
            </w:pPr>
            <w:r>
              <w:rPr>
                <w:rFonts w:cs="Times New Roman"/>
                <w:sz w:val="24"/>
                <w:rtl/>
              </w:rPr>
              <w:t>מינוי היושב ראש</w:t>
            </w:r>
          </w:p>
        </w:tc>
        <w:tc>
          <w:tcPr>
            <w:tcW w:w="567" w:type="dxa"/>
          </w:tcPr>
          <w:p w14:paraId="280E0FEF" w14:textId="77777777" w:rsidR="00177393" w:rsidRPr="00177393" w:rsidRDefault="00177393" w:rsidP="00177393">
            <w:pPr>
              <w:spacing w:line="240" w:lineRule="auto"/>
              <w:jc w:val="left"/>
              <w:rPr>
                <w:rStyle w:val="Hyperlink"/>
                <w:rtl/>
              </w:rPr>
            </w:pPr>
            <w:hyperlink w:anchor="Seif3" w:tooltip="מינוי היושב ראש" w:history="1">
              <w:r w:rsidRPr="00177393">
                <w:rPr>
                  <w:rStyle w:val="Hyperlink"/>
                </w:rPr>
                <w:t>Go</w:t>
              </w:r>
            </w:hyperlink>
          </w:p>
        </w:tc>
        <w:tc>
          <w:tcPr>
            <w:tcW w:w="850" w:type="dxa"/>
          </w:tcPr>
          <w:p w14:paraId="3E85FB6C"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684D0742" w14:textId="77777777">
        <w:tblPrEx>
          <w:tblCellMar>
            <w:top w:w="0" w:type="dxa"/>
            <w:bottom w:w="0" w:type="dxa"/>
          </w:tblCellMar>
        </w:tblPrEx>
        <w:tc>
          <w:tcPr>
            <w:tcW w:w="1247" w:type="dxa"/>
          </w:tcPr>
          <w:p w14:paraId="092B5152" w14:textId="77777777" w:rsidR="00177393" w:rsidRPr="00177393" w:rsidRDefault="00177393" w:rsidP="00177393">
            <w:pPr>
              <w:spacing w:line="240" w:lineRule="auto"/>
              <w:jc w:val="left"/>
              <w:rPr>
                <w:rFonts w:cs="Frankruhel"/>
                <w:sz w:val="24"/>
                <w:rtl/>
              </w:rPr>
            </w:pPr>
            <w:r>
              <w:rPr>
                <w:rFonts w:cs="Times New Roman"/>
                <w:sz w:val="24"/>
                <w:rtl/>
              </w:rPr>
              <w:t xml:space="preserve">סעיף 4 </w:t>
            </w:r>
          </w:p>
        </w:tc>
        <w:tc>
          <w:tcPr>
            <w:tcW w:w="5669" w:type="dxa"/>
          </w:tcPr>
          <w:p w14:paraId="5DDB7341" w14:textId="77777777" w:rsidR="00177393" w:rsidRPr="00177393" w:rsidRDefault="00177393" w:rsidP="00177393">
            <w:pPr>
              <w:spacing w:line="240" w:lineRule="auto"/>
              <w:jc w:val="left"/>
              <w:rPr>
                <w:rFonts w:cs="Frankruhel"/>
                <w:sz w:val="24"/>
                <w:rtl/>
              </w:rPr>
            </w:pPr>
            <w:r>
              <w:rPr>
                <w:rFonts w:cs="Times New Roman"/>
                <w:sz w:val="24"/>
                <w:rtl/>
              </w:rPr>
              <w:t>כינוס הוועדה</w:t>
            </w:r>
          </w:p>
        </w:tc>
        <w:tc>
          <w:tcPr>
            <w:tcW w:w="567" w:type="dxa"/>
          </w:tcPr>
          <w:p w14:paraId="46E174DB" w14:textId="77777777" w:rsidR="00177393" w:rsidRPr="00177393" w:rsidRDefault="00177393" w:rsidP="00177393">
            <w:pPr>
              <w:spacing w:line="240" w:lineRule="auto"/>
              <w:jc w:val="left"/>
              <w:rPr>
                <w:rStyle w:val="Hyperlink"/>
                <w:rtl/>
              </w:rPr>
            </w:pPr>
            <w:hyperlink w:anchor="Seif4" w:tooltip="כינוס הוועדה" w:history="1">
              <w:r w:rsidRPr="00177393">
                <w:rPr>
                  <w:rStyle w:val="Hyperlink"/>
                </w:rPr>
                <w:t>Go</w:t>
              </w:r>
            </w:hyperlink>
          </w:p>
        </w:tc>
        <w:tc>
          <w:tcPr>
            <w:tcW w:w="850" w:type="dxa"/>
          </w:tcPr>
          <w:p w14:paraId="524CD325"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0C6E84B7" w14:textId="77777777">
        <w:tblPrEx>
          <w:tblCellMar>
            <w:top w:w="0" w:type="dxa"/>
            <w:bottom w:w="0" w:type="dxa"/>
          </w:tblCellMar>
        </w:tblPrEx>
        <w:tc>
          <w:tcPr>
            <w:tcW w:w="1247" w:type="dxa"/>
          </w:tcPr>
          <w:p w14:paraId="6E1C607E" w14:textId="77777777" w:rsidR="00177393" w:rsidRPr="00177393" w:rsidRDefault="00177393" w:rsidP="00177393">
            <w:pPr>
              <w:spacing w:line="240" w:lineRule="auto"/>
              <w:jc w:val="left"/>
              <w:rPr>
                <w:rFonts w:cs="Frankruhel"/>
                <w:sz w:val="24"/>
                <w:rtl/>
              </w:rPr>
            </w:pPr>
            <w:r>
              <w:rPr>
                <w:rFonts w:cs="Times New Roman"/>
                <w:sz w:val="24"/>
                <w:rtl/>
              </w:rPr>
              <w:t xml:space="preserve">סעיף 5 </w:t>
            </w:r>
          </w:p>
        </w:tc>
        <w:tc>
          <w:tcPr>
            <w:tcW w:w="5669" w:type="dxa"/>
          </w:tcPr>
          <w:p w14:paraId="51AEA2BB" w14:textId="77777777" w:rsidR="00177393" w:rsidRPr="00177393" w:rsidRDefault="00177393" w:rsidP="00177393">
            <w:pPr>
              <w:spacing w:line="240" w:lineRule="auto"/>
              <w:jc w:val="left"/>
              <w:rPr>
                <w:rFonts w:cs="Frankruhel"/>
                <w:sz w:val="24"/>
                <w:rtl/>
              </w:rPr>
            </w:pPr>
            <w:r>
              <w:rPr>
                <w:rFonts w:cs="Times New Roman"/>
                <w:sz w:val="24"/>
                <w:rtl/>
              </w:rPr>
              <w:t>הזמנות</w:t>
            </w:r>
          </w:p>
        </w:tc>
        <w:tc>
          <w:tcPr>
            <w:tcW w:w="567" w:type="dxa"/>
          </w:tcPr>
          <w:p w14:paraId="33A5BB92" w14:textId="77777777" w:rsidR="00177393" w:rsidRPr="00177393" w:rsidRDefault="00177393" w:rsidP="00177393">
            <w:pPr>
              <w:spacing w:line="240" w:lineRule="auto"/>
              <w:jc w:val="left"/>
              <w:rPr>
                <w:rStyle w:val="Hyperlink"/>
                <w:rtl/>
              </w:rPr>
            </w:pPr>
            <w:hyperlink w:anchor="Seif5" w:tooltip="הזמנות" w:history="1">
              <w:r w:rsidRPr="00177393">
                <w:rPr>
                  <w:rStyle w:val="Hyperlink"/>
                </w:rPr>
                <w:t>Go</w:t>
              </w:r>
            </w:hyperlink>
          </w:p>
        </w:tc>
        <w:tc>
          <w:tcPr>
            <w:tcW w:w="850" w:type="dxa"/>
          </w:tcPr>
          <w:p w14:paraId="7819AF7F"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63F5922B" w14:textId="77777777">
        <w:tblPrEx>
          <w:tblCellMar>
            <w:top w:w="0" w:type="dxa"/>
            <w:bottom w:w="0" w:type="dxa"/>
          </w:tblCellMar>
        </w:tblPrEx>
        <w:tc>
          <w:tcPr>
            <w:tcW w:w="1247" w:type="dxa"/>
          </w:tcPr>
          <w:p w14:paraId="06E6116A" w14:textId="77777777" w:rsidR="00177393" w:rsidRPr="00177393" w:rsidRDefault="00177393" w:rsidP="00177393">
            <w:pPr>
              <w:spacing w:line="240" w:lineRule="auto"/>
              <w:jc w:val="left"/>
              <w:rPr>
                <w:rFonts w:cs="Frankruhel"/>
                <w:sz w:val="24"/>
                <w:rtl/>
              </w:rPr>
            </w:pPr>
            <w:r>
              <w:rPr>
                <w:rFonts w:cs="Times New Roman"/>
                <w:sz w:val="24"/>
                <w:rtl/>
              </w:rPr>
              <w:t xml:space="preserve">סעיף 6 </w:t>
            </w:r>
          </w:p>
        </w:tc>
        <w:tc>
          <w:tcPr>
            <w:tcW w:w="5669" w:type="dxa"/>
          </w:tcPr>
          <w:p w14:paraId="4336B413" w14:textId="77777777" w:rsidR="00177393" w:rsidRPr="00177393" w:rsidRDefault="00177393" w:rsidP="00177393">
            <w:pPr>
              <w:spacing w:line="240" w:lineRule="auto"/>
              <w:jc w:val="left"/>
              <w:rPr>
                <w:rFonts w:cs="Frankruhel"/>
                <w:sz w:val="24"/>
                <w:rtl/>
              </w:rPr>
            </w:pPr>
            <w:r>
              <w:rPr>
                <w:rFonts w:cs="Times New Roman"/>
                <w:sz w:val="24"/>
                <w:rtl/>
              </w:rPr>
              <w:t>קביעת סדר היום</w:t>
            </w:r>
          </w:p>
        </w:tc>
        <w:tc>
          <w:tcPr>
            <w:tcW w:w="567" w:type="dxa"/>
          </w:tcPr>
          <w:p w14:paraId="24A708F5" w14:textId="77777777" w:rsidR="00177393" w:rsidRPr="00177393" w:rsidRDefault="00177393" w:rsidP="00177393">
            <w:pPr>
              <w:spacing w:line="240" w:lineRule="auto"/>
              <w:jc w:val="left"/>
              <w:rPr>
                <w:rStyle w:val="Hyperlink"/>
                <w:rtl/>
              </w:rPr>
            </w:pPr>
            <w:hyperlink w:anchor="Seif6" w:tooltip="קביעת סדר היום" w:history="1">
              <w:r w:rsidRPr="00177393">
                <w:rPr>
                  <w:rStyle w:val="Hyperlink"/>
                </w:rPr>
                <w:t>Go</w:t>
              </w:r>
            </w:hyperlink>
          </w:p>
        </w:tc>
        <w:tc>
          <w:tcPr>
            <w:tcW w:w="850" w:type="dxa"/>
          </w:tcPr>
          <w:p w14:paraId="370F607E"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45656324" w14:textId="77777777">
        <w:tblPrEx>
          <w:tblCellMar>
            <w:top w:w="0" w:type="dxa"/>
            <w:bottom w:w="0" w:type="dxa"/>
          </w:tblCellMar>
        </w:tblPrEx>
        <w:tc>
          <w:tcPr>
            <w:tcW w:w="1247" w:type="dxa"/>
          </w:tcPr>
          <w:p w14:paraId="5EF57800" w14:textId="77777777" w:rsidR="00177393" w:rsidRPr="00177393" w:rsidRDefault="00177393" w:rsidP="00177393">
            <w:pPr>
              <w:spacing w:line="240" w:lineRule="auto"/>
              <w:jc w:val="left"/>
              <w:rPr>
                <w:rFonts w:cs="Frankruhel"/>
                <w:sz w:val="24"/>
                <w:rtl/>
              </w:rPr>
            </w:pPr>
            <w:r>
              <w:rPr>
                <w:rFonts w:cs="Times New Roman"/>
                <w:sz w:val="24"/>
                <w:rtl/>
              </w:rPr>
              <w:t xml:space="preserve">סעיף 7 </w:t>
            </w:r>
          </w:p>
        </w:tc>
        <w:tc>
          <w:tcPr>
            <w:tcW w:w="5669" w:type="dxa"/>
          </w:tcPr>
          <w:p w14:paraId="0A0985EC" w14:textId="77777777" w:rsidR="00177393" w:rsidRPr="00177393" w:rsidRDefault="00177393" w:rsidP="00177393">
            <w:pPr>
              <w:spacing w:line="240" w:lineRule="auto"/>
              <w:jc w:val="left"/>
              <w:rPr>
                <w:rFonts w:cs="Frankruhel"/>
                <w:sz w:val="24"/>
                <w:rtl/>
              </w:rPr>
            </w:pPr>
            <w:r>
              <w:rPr>
                <w:rFonts w:cs="Times New Roman"/>
                <w:sz w:val="24"/>
                <w:rtl/>
              </w:rPr>
              <w:t>שינויים בסדר היום</w:t>
            </w:r>
          </w:p>
        </w:tc>
        <w:tc>
          <w:tcPr>
            <w:tcW w:w="567" w:type="dxa"/>
          </w:tcPr>
          <w:p w14:paraId="2A63741F" w14:textId="77777777" w:rsidR="00177393" w:rsidRPr="00177393" w:rsidRDefault="00177393" w:rsidP="00177393">
            <w:pPr>
              <w:spacing w:line="240" w:lineRule="auto"/>
              <w:jc w:val="left"/>
              <w:rPr>
                <w:rStyle w:val="Hyperlink"/>
                <w:rtl/>
              </w:rPr>
            </w:pPr>
            <w:hyperlink w:anchor="Seif7" w:tooltip="שינויים בסדר היום" w:history="1">
              <w:r w:rsidRPr="00177393">
                <w:rPr>
                  <w:rStyle w:val="Hyperlink"/>
                </w:rPr>
                <w:t>Go</w:t>
              </w:r>
            </w:hyperlink>
          </w:p>
        </w:tc>
        <w:tc>
          <w:tcPr>
            <w:tcW w:w="850" w:type="dxa"/>
          </w:tcPr>
          <w:p w14:paraId="446A8461"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54085675" w14:textId="77777777">
        <w:tblPrEx>
          <w:tblCellMar>
            <w:top w:w="0" w:type="dxa"/>
            <w:bottom w:w="0" w:type="dxa"/>
          </w:tblCellMar>
        </w:tblPrEx>
        <w:tc>
          <w:tcPr>
            <w:tcW w:w="1247" w:type="dxa"/>
          </w:tcPr>
          <w:p w14:paraId="5D99371D" w14:textId="77777777" w:rsidR="00177393" w:rsidRPr="00177393" w:rsidRDefault="00177393" w:rsidP="00177393">
            <w:pPr>
              <w:spacing w:line="240" w:lineRule="auto"/>
              <w:jc w:val="left"/>
              <w:rPr>
                <w:rFonts w:cs="Frankruhel"/>
                <w:sz w:val="24"/>
                <w:rtl/>
              </w:rPr>
            </w:pPr>
            <w:r>
              <w:rPr>
                <w:rFonts w:cs="Times New Roman"/>
                <w:sz w:val="24"/>
                <w:rtl/>
              </w:rPr>
              <w:t xml:space="preserve">סעיף 8 </w:t>
            </w:r>
          </w:p>
        </w:tc>
        <w:tc>
          <w:tcPr>
            <w:tcW w:w="5669" w:type="dxa"/>
          </w:tcPr>
          <w:p w14:paraId="59E447F9" w14:textId="77777777" w:rsidR="00177393" w:rsidRPr="00177393" w:rsidRDefault="00177393" w:rsidP="00177393">
            <w:pPr>
              <w:spacing w:line="240" w:lineRule="auto"/>
              <w:jc w:val="left"/>
              <w:rPr>
                <w:rFonts w:cs="Frankruhel"/>
                <w:sz w:val="24"/>
                <w:rtl/>
              </w:rPr>
            </w:pPr>
            <w:r>
              <w:rPr>
                <w:rFonts w:cs="Times New Roman"/>
                <w:sz w:val="24"/>
                <w:rtl/>
              </w:rPr>
              <w:t>מניין חוקי</w:t>
            </w:r>
          </w:p>
        </w:tc>
        <w:tc>
          <w:tcPr>
            <w:tcW w:w="567" w:type="dxa"/>
          </w:tcPr>
          <w:p w14:paraId="25A9FFA3" w14:textId="77777777" w:rsidR="00177393" w:rsidRPr="00177393" w:rsidRDefault="00177393" w:rsidP="00177393">
            <w:pPr>
              <w:spacing w:line="240" w:lineRule="auto"/>
              <w:jc w:val="left"/>
              <w:rPr>
                <w:rStyle w:val="Hyperlink"/>
                <w:rtl/>
              </w:rPr>
            </w:pPr>
            <w:hyperlink w:anchor="Seif8" w:tooltip="מניין חוקי" w:history="1">
              <w:r w:rsidRPr="00177393">
                <w:rPr>
                  <w:rStyle w:val="Hyperlink"/>
                </w:rPr>
                <w:t>Go</w:t>
              </w:r>
            </w:hyperlink>
          </w:p>
        </w:tc>
        <w:tc>
          <w:tcPr>
            <w:tcW w:w="850" w:type="dxa"/>
          </w:tcPr>
          <w:p w14:paraId="05C0E470"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2C06F808" w14:textId="77777777">
        <w:tblPrEx>
          <w:tblCellMar>
            <w:top w:w="0" w:type="dxa"/>
            <w:bottom w:w="0" w:type="dxa"/>
          </w:tblCellMar>
        </w:tblPrEx>
        <w:tc>
          <w:tcPr>
            <w:tcW w:w="1247" w:type="dxa"/>
          </w:tcPr>
          <w:p w14:paraId="5EE9A211" w14:textId="77777777" w:rsidR="00177393" w:rsidRPr="00177393" w:rsidRDefault="00177393" w:rsidP="00177393">
            <w:pPr>
              <w:spacing w:line="240" w:lineRule="auto"/>
              <w:jc w:val="left"/>
              <w:rPr>
                <w:rFonts w:cs="Frankruhel"/>
                <w:sz w:val="24"/>
                <w:rtl/>
              </w:rPr>
            </w:pPr>
            <w:r>
              <w:rPr>
                <w:rFonts w:cs="Times New Roman"/>
                <w:sz w:val="24"/>
                <w:rtl/>
              </w:rPr>
              <w:t xml:space="preserve">סעיף 9 </w:t>
            </w:r>
          </w:p>
        </w:tc>
        <w:tc>
          <w:tcPr>
            <w:tcW w:w="5669" w:type="dxa"/>
          </w:tcPr>
          <w:p w14:paraId="43FB3EAB" w14:textId="77777777" w:rsidR="00177393" w:rsidRPr="00177393" w:rsidRDefault="00177393" w:rsidP="00177393">
            <w:pPr>
              <w:spacing w:line="240" w:lineRule="auto"/>
              <w:jc w:val="left"/>
              <w:rPr>
                <w:rFonts w:cs="Frankruhel"/>
                <w:sz w:val="24"/>
                <w:rtl/>
              </w:rPr>
            </w:pPr>
            <w:r>
              <w:rPr>
                <w:rFonts w:cs="Times New Roman"/>
                <w:sz w:val="24"/>
                <w:rtl/>
              </w:rPr>
              <w:t>קבלת החלטות</w:t>
            </w:r>
          </w:p>
        </w:tc>
        <w:tc>
          <w:tcPr>
            <w:tcW w:w="567" w:type="dxa"/>
          </w:tcPr>
          <w:p w14:paraId="189FED75" w14:textId="77777777" w:rsidR="00177393" w:rsidRPr="00177393" w:rsidRDefault="00177393" w:rsidP="00177393">
            <w:pPr>
              <w:spacing w:line="240" w:lineRule="auto"/>
              <w:jc w:val="left"/>
              <w:rPr>
                <w:rStyle w:val="Hyperlink"/>
                <w:rtl/>
              </w:rPr>
            </w:pPr>
            <w:hyperlink w:anchor="Seif9" w:tooltip="קבלת החלטות" w:history="1">
              <w:r w:rsidRPr="00177393">
                <w:rPr>
                  <w:rStyle w:val="Hyperlink"/>
                </w:rPr>
                <w:t>Go</w:t>
              </w:r>
            </w:hyperlink>
          </w:p>
        </w:tc>
        <w:tc>
          <w:tcPr>
            <w:tcW w:w="850" w:type="dxa"/>
          </w:tcPr>
          <w:p w14:paraId="4A6551FB"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33ED3E94" w14:textId="77777777">
        <w:tblPrEx>
          <w:tblCellMar>
            <w:top w:w="0" w:type="dxa"/>
            <w:bottom w:w="0" w:type="dxa"/>
          </w:tblCellMar>
        </w:tblPrEx>
        <w:tc>
          <w:tcPr>
            <w:tcW w:w="1247" w:type="dxa"/>
          </w:tcPr>
          <w:p w14:paraId="22660953" w14:textId="77777777" w:rsidR="00177393" w:rsidRPr="00177393" w:rsidRDefault="00177393" w:rsidP="00177393">
            <w:pPr>
              <w:spacing w:line="240" w:lineRule="auto"/>
              <w:jc w:val="left"/>
              <w:rPr>
                <w:rFonts w:cs="Frankruhel"/>
                <w:sz w:val="24"/>
                <w:rtl/>
              </w:rPr>
            </w:pPr>
            <w:r>
              <w:rPr>
                <w:rFonts w:cs="Times New Roman"/>
                <w:sz w:val="24"/>
                <w:rtl/>
              </w:rPr>
              <w:t xml:space="preserve">סעיף 10 </w:t>
            </w:r>
          </w:p>
        </w:tc>
        <w:tc>
          <w:tcPr>
            <w:tcW w:w="5669" w:type="dxa"/>
          </w:tcPr>
          <w:p w14:paraId="3F807464" w14:textId="77777777" w:rsidR="00177393" w:rsidRPr="00177393" w:rsidRDefault="00177393" w:rsidP="00177393">
            <w:pPr>
              <w:spacing w:line="240" w:lineRule="auto"/>
              <w:jc w:val="left"/>
              <w:rPr>
                <w:rFonts w:cs="Frankruhel"/>
                <w:sz w:val="24"/>
                <w:rtl/>
              </w:rPr>
            </w:pPr>
            <w:r>
              <w:rPr>
                <w:rFonts w:cs="Times New Roman"/>
                <w:sz w:val="24"/>
                <w:rtl/>
              </w:rPr>
              <w:t>פרוטוקול</w:t>
            </w:r>
          </w:p>
        </w:tc>
        <w:tc>
          <w:tcPr>
            <w:tcW w:w="567" w:type="dxa"/>
          </w:tcPr>
          <w:p w14:paraId="3DFE05DB" w14:textId="77777777" w:rsidR="00177393" w:rsidRPr="00177393" w:rsidRDefault="00177393" w:rsidP="00177393">
            <w:pPr>
              <w:spacing w:line="240" w:lineRule="auto"/>
              <w:jc w:val="left"/>
              <w:rPr>
                <w:rStyle w:val="Hyperlink"/>
                <w:rtl/>
              </w:rPr>
            </w:pPr>
            <w:hyperlink w:anchor="Seif10" w:tooltip="פרוטוקול" w:history="1">
              <w:r w:rsidRPr="00177393">
                <w:rPr>
                  <w:rStyle w:val="Hyperlink"/>
                </w:rPr>
                <w:t>Go</w:t>
              </w:r>
            </w:hyperlink>
          </w:p>
        </w:tc>
        <w:tc>
          <w:tcPr>
            <w:tcW w:w="850" w:type="dxa"/>
          </w:tcPr>
          <w:p w14:paraId="5533811E"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77393" w:rsidRPr="00177393" w14:paraId="060657F1" w14:textId="77777777">
        <w:tblPrEx>
          <w:tblCellMar>
            <w:top w:w="0" w:type="dxa"/>
            <w:bottom w:w="0" w:type="dxa"/>
          </w:tblCellMar>
        </w:tblPrEx>
        <w:tc>
          <w:tcPr>
            <w:tcW w:w="1247" w:type="dxa"/>
          </w:tcPr>
          <w:p w14:paraId="2F869613" w14:textId="77777777" w:rsidR="00177393" w:rsidRPr="00177393" w:rsidRDefault="00177393" w:rsidP="00177393">
            <w:pPr>
              <w:spacing w:line="240" w:lineRule="auto"/>
              <w:jc w:val="left"/>
              <w:rPr>
                <w:rFonts w:cs="Frankruhel"/>
                <w:sz w:val="24"/>
                <w:rtl/>
              </w:rPr>
            </w:pPr>
            <w:r>
              <w:rPr>
                <w:rFonts w:cs="Times New Roman"/>
                <w:sz w:val="24"/>
                <w:rtl/>
              </w:rPr>
              <w:t xml:space="preserve">סעיף 11 </w:t>
            </w:r>
          </w:p>
        </w:tc>
        <w:tc>
          <w:tcPr>
            <w:tcW w:w="5669" w:type="dxa"/>
          </w:tcPr>
          <w:p w14:paraId="5938165E" w14:textId="77777777" w:rsidR="00177393" w:rsidRPr="00177393" w:rsidRDefault="00177393" w:rsidP="00177393">
            <w:pPr>
              <w:spacing w:line="240" w:lineRule="auto"/>
              <w:jc w:val="left"/>
              <w:rPr>
                <w:rFonts w:cs="Frankruhel"/>
                <w:sz w:val="24"/>
                <w:rtl/>
              </w:rPr>
            </w:pPr>
            <w:r>
              <w:rPr>
                <w:rFonts w:cs="Times New Roman"/>
                <w:sz w:val="24"/>
                <w:rtl/>
              </w:rPr>
              <w:t>תחילה</w:t>
            </w:r>
          </w:p>
        </w:tc>
        <w:tc>
          <w:tcPr>
            <w:tcW w:w="567" w:type="dxa"/>
          </w:tcPr>
          <w:p w14:paraId="57BEE838" w14:textId="77777777" w:rsidR="00177393" w:rsidRPr="00177393" w:rsidRDefault="00177393" w:rsidP="00177393">
            <w:pPr>
              <w:spacing w:line="240" w:lineRule="auto"/>
              <w:jc w:val="left"/>
              <w:rPr>
                <w:rStyle w:val="Hyperlink"/>
                <w:rtl/>
              </w:rPr>
            </w:pPr>
            <w:hyperlink w:anchor="Seif11" w:tooltip="תחילה" w:history="1">
              <w:r w:rsidRPr="00177393">
                <w:rPr>
                  <w:rStyle w:val="Hyperlink"/>
                </w:rPr>
                <w:t>Go</w:t>
              </w:r>
            </w:hyperlink>
          </w:p>
        </w:tc>
        <w:tc>
          <w:tcPr>
            <w:tcW w:w="850" w:type="dxa"/>
          </w:tcPr>
          <w:p w14:paraId="51DF7E8A" w14:textId="77777777" w:rsidR="00177393" w:rsidRPr="00177393" w:rsidRDefault="00177393" w:rsidP="001773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C6869EE" w14:textId="77777777" w:rsidR="00D25D5C" w:rsidRDefault="00D25D5C" w:rsidP="00581F7F">
      <w:pPr>
        <w:pStyle w:val="big-header"/>
        <w:ind w:left="0" w:right="1134"/>
        <w:rPr>
          <w:rStyle w:val="default"/>
          <w:rFonts w:hint="cs"/>
          <w:sz w:val="22"/>
          <w:szCs w:val="22"/>
          <w:rtl/>
        </w:rPr>
      </w:pPr>
      <w:r>
        <w:rPr>
          <w:rFonts w:cs="FrankRuehl"/>
          <w:sz w:val="32"/>
          <w:rtl/>
        </w:rPr>
        <w:br w:type="page"/>
      </w:r>
      <w:r w:rsidR="00D81CBF">
        <w:rPr>
          <w:rFonts w:cs="FrankRuehl" w:hint="cs"/>
          <w:sz w:val="32"/>
          <w:rtl/>
        </w:rPr>
        <w:lastRenderedPageBreak/>
        <w:t>תקנות שוויון הזדמנויות בעבודה (תקופת כהונה וסדרי עבודה של הוועדה המייעצת), תשס"ט-2009</w:t>
      </w:r>
      <w:r>
        <w:rPr>
          <w:rStyle w:val="default"/>
          <w:sz w:val="22"/>
          <w:szCs w:val="22"/>
          <w:rtl/>
        </w:rPr>
        <w:footnoteReference w:customMarkFollows="1" w:id="1"/>
        <w:t>*</w:t>
      </w:r>
    </w:p>
    <w:p w14:paraId="0CB49DD7" w14:textId="77777777" w:rsidR="00BD1625" w:rsidRDefault="00BD1625" w:rsidP="00D81CBF">
      <w:pPr>
        <w:pStyle w:val="P00"/>
        <w:spacing w:before="72"/>
        <w:ind w:left="0" w:right="1134"/>
        <w:rPr>
          <w:rStyle w:val="default"/>
          <w:rFonts w:cs="FrankRuehl" w:hint="cs"/>
          <w:rtl/>
        </w:rPr>
      </w:pPr>
      <w:r>
        <w:rPr>
          <w:rStyle w:val="default"/>
          <w:rFonts w:cs="FrankRuehl" w:hint="cs"/>
          <w:rtl/>
        </w:rPr>
        <w:tab/>
        <w:t xml:space="preserve">בתוקף </w:t>
      </w:r>
      <w:r w:rsidR="00D81CBF">
        <w:rPr>
          <w:rStyle w:val="default"/>
          <w:rFonts w:cs="FrankRuehl" w:hint="cs"/>
          <w:rtl/>
        </w:rPr>
        <w:t xml:space="preserve">סמכותי לפי סעיף 18ז(ה) לחוק שוויון הזדמנויות בעבודה, התשמ"ח-1988 (להלן </w:t>
      </w:r>
      <w:r w:rsidR="00D81CBF">
        <w:rPr>
          <w:rStyle w:val="default"/>
          <w:rFonts w:cs="FrankRuehl"/>
          <w:rtl/>
        </w:rPr>
        <w:t>–</w:t>
      </w:r>
      <w:r w:rsidR="00D81CBF">
        <w:rPr>
          <w:rStyle w:val="default"/>
          <w:rFonts w:cs="FrankRuehl" w:hint="cs"/>
          <w:rtl/>
        </w:rPr>
        <w:t xml:space="preserve"> החוק), אני מתקין תקנות אלה</w:t>
      </w:r>
      <w:r>
        <w:rPr>
          <w:rStyle w:val="default"/>
          <w:rFonts w:cs="FrankRuehl" w:hint="cs"/>
          <w:rtl/>
        </w:rPr>
        <w:t>:</w:t>
      </w:r>
    </w:p>
    <w:p w14:paraId="0817F46F" w14:textId="77777777" w:rsidR="00642120" w:rsidRDefault="00642120" w:rsidP="006A6364">
      <w:pPr>
        <w:pStyle w:val="P00"/>
        <w:spacing w:before="72"/>
        <w:ind w:left="0" w:right="1134"/>
        <w:rPr>
          <w:rStyle w:val="default"/>
          <w:rFonts w:cs="FrankRuehl" w:hint="cs"/>
          <w:rtl/>
        </w:rPr>
      </w:pPr>
      <w:bookmarkStart w:id="0" w:name="Seif1"/>
      <w:bookmarkEnd w:id="0"/>
      <w:r>
        <w:rPr>
          <w:lang w:val="he-IL"/>
        </w:rPr>
        <w:pict w14:anchorId="1CDBB818">
          <v:rect id="_x0000_s1107" style="position:absolute;left:0;text-align:left;margin-left:464.5pt;margin-top:8.05pt;width:75.05pt;height:11.5pt;z-index:251652096" o:allowincell="f" filled="f" stroked="f" strokecolor="lime" strokeweight=".25pt">
            <v:textbox inset="0,0,0,0">
              <w:txbxContent>
                <w:p w14:paraId="17DCEFB7" w14:textId="77777777" w:rsidR="00DF712A" w:rsidRDefault="00DF712A"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6A6364">
        <w:rPr>
          <w:rStyle w:val="default"/>
          <w:rFonts w:cs="FrankRuehl" w:hint="cs"/>
          <w:rtl/>
        </w:rPr>
        <w:t>בתקנות</w:t>
      </w:r>
      <w:r w:rsidR="00273C7A">
        <w:rPr>
          <w:rStyle w:val="default"/>
          <w:rFonts w:cs="FrankRuehl" w:hint="cs"/>
          <w:rtl/>
        </w:rPr>
        <w:t xml:space="preserve"> אלה </w:t>
      </w:r>
      <w:r w:rsidR="00273C7A">
        <w:rPr>
          <w:rStyle w:val="default"/>
          <w:rFonts w:cs="FrankRuehl"/>
          <w:rtl/>
        </w:rPr>
        <w:t>–</w:t>
      </w:r>
    </w:p>
    <w:p w14:paraId="1A090A10" w14:textId="77777777" w:rsidR="00D81CBF" w:rsidRDefault="00D81CBF" w:rsidP="006A6364">
      <w:pPr>
        <w:pStyle w:val="P00"/>
        <w:spacing w:before="72"/>
        <w:ind w:left="0" w:right="1134"/>
        <w:rPr>
          <w:rStyle w:val="default"/>
          <w:rFonts w:cs="FrankRuehl" w:hint="cs"/>
          <w:rtl/>
        </w:rPr>
      </w:pPr>
      <w:r>
        <w:rPr>
          <w:rStyle w:val="default"/>
          <w:rFonts w:cs="FrankRuehl" w:hint="cs"/>
          <w:rtl/>
        </w:rPr>
        <w:tab/>
        <w:t xml:space="preserve">"ועדה" </w:t>
      </w:r>
      <w:r>
        <w:rPr>
          <w:rStyle w:val="default"/>
          <w:rFonts w:cs="FrankRuehl"/>
          <w:rtl/>
        </w:rPr>
        <w:t>–</w:t>
      </w:r>
      <w:r>
        <w:rPr>
          <w:rStyle w:val="default"/>
          <w:rFonts w:cs="FrankRuehl" w:hint="cs"/>
          <w:rtl/>
        </w:rPr>
        <w:t xml:space="preserve"> הוועדה המייעצת שנתמנתה לפי סעיף 18ז(א) לחוק;</w:t>
      </w:r>
    </w:p>
    <w:p w14:paraId="67D3C314" w14:textId="77777777" w:rsidR="00D81CBF" w:rsidRDefault="00D81CBF" w:rsidP="006A6364">
      <w:pPr>
        <w:pStyle w:val="P00"/>
        <w:spacing w:before="72"/>
        <w:ind w:left="0" w:right="1134"/>
        <w:rPr>
          <w:rStyle w:val="default"/>
          <w:rFonts w:cs="FrankRuehl" w:hint="cs"/>
          <w:rtl/>
        </w:rPr>
      </w:pPr>
      <w:r>
        <w:rPr>
          <w:rStyle w:val="default"/>
          <w:rFonts w:cs="FrankRuehl" w:hint="cs"/>
          <w:rtl/>
        </w:rPr>
        <w:tab/>
        <w:t xml:space="preserve">"הנציבות" </w:t>
      </w:r>
      <w:r>
        <w:rPr>
          <w:rStyle w:val="default"/>
          <w:rFonts w:cs="FrankRuehl"/>
          <w:rtl/>
        </w:rPr>
        <w:t>–</w:t>
      </w:r>
      <w:r>
        <w:rPr>
          <w:rStyle w:val="default"/>
          <w:rFonts w:cs="FrankRuehl" w:hint="cs"/>
          <w:rtl/>
        </w:rPr>
        <w:t xml:space="preserve"> כמשמעותה בסעיף 18א לחוק;</w:t>
      </w:r>
    </w:p>
    <w:p w14:paraId="41EFCA1B" w14:textId="77777777" w:rsidR="00D81CBF" w:rsidRDefault="00D81CBF" w:rsidP="006A6364">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הנציב הארצי כמשמעותו בסעיף 18ב לחוק.</w:t>
      </w:r>
    </w:p>
    <w:p w14:paraId="2729409B" w14:textId="77777777" w:rsidR="00642120" w:rsidRDefault="00642120" w:rsidP="00D81CBF">
      <w:pPr>
        <w:pStyle w:val="P00"/>
        <w:spacing w:before="72"/>
        <w:ind w:left="0" w:right="1134"/>
        <w:rPr>
          <w:rStyle w:val="default"/>
          <w:rFonts w:cs="FrankRuehl" w:hint="cs"/>
          <w:rtl/>
        </w:rPr>
      </w:pPr>
      <w:bookmarkStart w:id="1" w:name="Seif2"/>
      <w:bookmarkEnd w:id="1"/>
      <w:r>
        <w:rPr>
          <w:lang w:val="he-IL"/>
        </w:rPr>
        <w:pict w14:anchorId="34323BCC">
          <v:rect id="_x0000_s1108" style="position:absolute;left:0;text-align:left;margin-left:464.5pt;margin-top:8.05pt;width:75.05pt;height:15.3pt;z-index:251653120" o:allowincell="f" filled="f" stroked="f" strokecolor="lime" strokeweight=".25pt">
            <v:textbox inset="0,0,0,0">
              <w:txbxContent>
                <w:p w14:paraId="113EB7C2" w14:textId="77777777" w:rsidR="00DF712A" w:rsidRDefault="00D81CBF" w:rsidP="00373ACB">
                  <w:pPr>
                    <w:spacing w:line="160" w:lineRule="exact"/>
                    <w:jc w:val="left"/>
                    <w:rPr>
                      <w:rFonts w:cs="Miriam" w:hint="cs"/>
                      <w:noProof/>
                      <w:sz w:val="18"/>
                      <w:szCs w:val="18"/>
                      <w:rtl/>
                    </w:rPr>
                  </w:pPr>
                  <w:r>
                    <w:rPr>
                      <w:rFonts w:cs="Miriam" w:hint="cs"/>
                      <w:sz w:val="18"/>
                      <w:szCs w:val="18"/>
                      <w:rtl/>
                    </w:rPr>
                    <w:t>תקופת כהונה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766E73">
        <w:rPr>
          <w:rStyle w:val="default"/>
          <w:rFonts w:cs="FrankRuehl" w:hint="cs"/>
          <w:rtl/>
        </w:rPr>
        <w:t>(א)</w:t>
      </w:r>
      <w:r w:rsidR="00766E73">
        <w:rPr>
          <w:rStyle w:val="default"/>
          <w:rFonts w:cs="FrankRuehl" w:hint="cs"/>
          <w:rtl/>
        </w:rPr>
        <w:tab/>
      </w:r>
      <w:r w:rsidR="00D81CBF">
        <w:rPr>
          <w:rStyle w:val="default"/>
          <w:rFonts w:cs="FrankRuehl" w:hint="cs"/>
          <w:rtl/>
        </w:rPr>
        <w:t>תקופת כהונתו של חבר הוועדה תהיה ארבע שנים מיום מינויו.</w:t>
      </w:r>
    </w:p>
    <w:p w14:paraId="74A04921" w14:textId="77777777" w:rsidR="00D81CBF" w:rsidRDefault="00D81CBF" w:rsidP="00D81C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שתקופת כהונתו תמה יכול שיתמנה מחדש לתקופת כהונה נוספת.</w:t>
      </w:r>
    </w:p>
    <w:p w14:paraId="44227A7D" w14:textId="77777777" w:rsidR="002908AB" w:rsidRDefault="002908AB" w:rsidP="00D81CBF">
      <w:pPr>
        <w:pStyle w:val="P00"/>
        <w:spacing w:before="72"/>
        <w:ind w:left="0" w:right="1134"/>
        <w:rPr>
          <w:rStyle w:val="default"/>
          <w:rFonts w:cs="FrankRuehl" w:hint="cs"/>
          <w:rtl/>
        </w:rPr>
      </w:pPr>
      <w:r>
        <w:rPr>
          <w:rFonts w:cs="FrankRuehl" w:hint="cs"/>
          <w:sz w:val="26"/>
          <w:rtl/>
          <w:lang w:eastAsia="en-US"/>
        </w:rPr>
        <w:pict w14:anchorId="062CDB1A">
          <v:shapetype id="_x0000_t202" coordsize="21600,21600" o:spt="202" path="m,l,21600r21600,l21600,xe">
            <v:stroke joinstyle="miter"/>
            <v:path gradientshapeok="t" o:connecttype="rect"/>
          </v:shapetype>
          <v:shape id="_x0000_s1189" type="#_x0000_t202" style="position:absolute;left:0;text-align:left;margin-left:470.35pt;margin-top:7.1pt;width:1in;height:9pt;z-index:251663360" filled="f" stroked="f">
            <v:textbox inset="1mm,0,1mm,0">
              <w:txbxContent>
                <w:p w14:paraId="160E486D" w14:textId="77777777" w:rsidR="002908AB" w:rsidRDefault="002908AB" w:rsidP="002908AB">
                  <w:pPr>
                    <w:spacing w:line="160" w:lineRule="exact"/>
                    <w:jc w:val="left"/>
                    <w:rPr>
                      <w:rFonts w:cs="Miriam" w:hint="cs"/>
                      <w:noProof/>
                      <w:sz w:val="18"/>
                      <w:szCs w:val="18"/>
                      <w:rtl/>
                    </w:rPr>
                  </w:pPr>
                  <w:r>
                    <w:rPr>
                      <w:rFonts w:cs="Miriam" w:hint="cs"/>
                      <w:sz w:val="18"/>
                      <w:szCs w:val="18"/>
                      <w:rtl/>
                    </w:rPr>
                    <w:t>תק' תשע"ג-2012</w:t>
                  </w:r>
                </w:p>
              </w:txbxContent>
            </v:textbox>
          </v:shape>
        </w:pict>
      </w:r>
      <w:r>
        <w:rPr>
          <w:rStyle w:val="default"/>
          <w:rFonts w:cs="FrankRuehl" w:hint="cs"/>
          <w:rtl/>
        </w:rPr>
        <w:tab/>
        <w:t>(ג)</w:t>
      </w:r>
      <w:r>
        <w:rPr>
          <w:rStyle w:val="default"/>
          <w:rFonts w:cs="FrankRuehl" w:hint="cs"/>
          <w:rtl/>
        </w:rPr>
        <w:tab/>
        <w:t>תמה תקופת כהונה של חבר הוועדה וטרם חודש מינויו או מונה חבר חדש במקומו, ימשיך חבר הוועדה לכהן במשך ארבעה חודשים נוספים או עד למינויו מחדש או למינוי חבר חדש במקומו, לפי המוקדם.</w:t>
      </w:r>
    </w:p>
    <w:p w14:paraId="79C1DEDB" w14:textId="77777777" w:rsidR="002908AB" w:rsidRPr="002908AB" w:rsidRDefault="002908AB" w:rsidP="002908AB">
      <w:pPr>
        <w:pStyle w:val="P00"/>
        <w:spacing w:before="0"/>
        <w:ind w:left="0" w:right="1134"/>
        <w:rPr>
          <w:rStyle w:val="default"/>
          <w:rFonts w:cs="FrankRuehl" w:hint="cs"/>
          <w:vanish/>
          <w:color w:val="FF0000"/>
          <w:sz w:val="20"/>
          <w:szCs w:val="20"/>
          <w:shd w:val="clear" w:color="auto" w:fill="FFFF99"/>
          <w:rtl/>
        </w:rPr>
      </w:pPr>
      <w:bookmarkStart w:id="2" w:name="Rov12"/>
      <w:r w:rsidRPr="002908AB">
        <w:rPr>
          <w:rStyle w:val="default"/>
          <w:rFonts w:cs="FrankRuehl" w:hint="cs"/>
          <w:vanish/>
          <w:color w:val="FF0000"/>
          <w:sz w:val="20"/>
          <w:szCs w:val="20"/>
          <w:shd w:val="clear" w:color="auto" w:fill="FFFF99"/>
          <w:rtl/>
        </w:rPr>
        <w:t>מיום 11.11.2012</w:t>
      </w:r>
    </w:p>
    <w:p w14:paraId="1D8F6269" w14:textId="77777777" w:rsidR="002908AB" w:rsidRPr="002908AB" w:rsidRDefault="002908AB" w:rsidP="002908AB">
      <w:pPr>
        <w:pStyle w:val="P00"/>
        <w:spacing w:before="0"/>
        <w:ind w:left="0" w:right="1134"/>
        <w:rPr>
          <w:rStyle w:val="default"/>
          <w:rFonts w:cs="FrankRuehl" w:hint="cs"/>
          <w:vanish/>
          <w:sz w:val="20"/>
          <w:szCs w:val="20"/>
          <w:shd w:val="clear" w:color="auto" w:fill="FFFF99"/>
          <w:rtl/>
        </w:rPr>
      </w:pPr>
      <w:r w:rsidRPr="002908AB">
        <w:rPr>
          <w:rStyle w:val="default"/>
          <w:rFonts w:cs="FrankRuehl" w:hint="cs"/>
          <w:b/>
          <w:bCs/>
          <w:vanish/>
          <w:sz w:val="20"/>
          <w:szCs w:val="20"/>
          <w:shd w:val="clear" w:color="auto" w:fill="FFFF99"/>
          <w:rtl/>
        </w:rPr>
        <w:t>תק' תשע"ג-2012</w:t>
      </w:r>
    </w:p>
    <w:p w14:paraId="20BF0A86" w14:textId="77777777" w:rsidR="002908AB" w:rsidRPr="002908AB" w:rsidRDefault="002908AB" w:rsidP="002908AB">
      <w:pPr>
        <w:pStyle w:val="P00"/>
        <w:spacing w:before="0"/>
        <w:ind w:left="0" w:right="1134"/>
        <w:rPr>
          <w:rStyle w:val="default"/>
          <w:rFonts w:cs="FrankRuehl" w:hint="cs"/>
          <w:vanish/>
          <w:sz w:val="20"/>
          <w:szCs w:val="20"/>
          <w:shd w:val="clear" w:color="auto" w:fill="FFFF99"/>
          <w:rtl/>
        </w:rPr>
      </w:pPr>
      <w:hyperlink r:id="rId7" w:history="1">
        <w:r w:rsidRPr="002908AB">
          <w:rPr>
            <w:rStyle w:val="Hyperlink"/>
            <w:rFonts w:cs="FrankRuehl" w:hint="cs"/>
            <w:vanish/>
            <w:szCs w:val="20"/>
            <w:shd w:val="clear" w:color="auto" w:fill="FFFF99"/>
            <w:rtl/>
          </w:rPr>
          <w:t>ק"ת תשע"ג מס' 7178</w:t>
        </w:r>
      </w:hyperlink>
      <w:r w:rsidRPr="002908AB">
        <w:rPr>
          <w:rStyle w:val="default"/>
          <w:rFonts w:cs="FrankRuehl" w:hint="cs"/>
          <w:vanish/>
          <w:sz w:val="20"/>
          <w:szCs w:val="20"/>
          <w:shd w:val="clear" w:color="auto" w:fill="FFFF99"/>
          <w:rtl/>
        </w:rPr>
        <w:t xml:space="preserve"> מיום 11.11.2012 עמ' 162</w:t>
      </w:r>
    </w:p>
    <w:p w14:paraId="5C0368E1" w14:textId="77777777" w:rsidR="002908AB" w:rsidRPr="002908AB" w:rsidRDefault="002908AB" w:rsidP="002908AB">
      <w:pPr>
        <w:pStyle w:val="P00"/>
        <w:spacing w:before="0"/>
        <w:ind w:left="0" w:right="1134"/>
        <w:rPr>
          <w:rStyle w:val="default"/>
          <w:rFonts w:cs="FrankRuehl" w:hint="cs"/>
          <w:sz w:val="2"/>
          <w:szCs w:val="2"/>
          <w:rtl/>
        </w:rPr>
      </w:pPr>
      <w:r w:rsidRPr="002908AB">
        <w:rPr>
          <w:rStyle w:val="default"/>
          <w:rFonts w:cs="FrankRuehl" w:hint="cs"/>
          <w:b/>
          <w:bCs/>
          <w:vanish/>
          <w:sz w:val="20"/>
          <w:szCs w:val="20"/>
          <w:shd w:val="clear" w:color="auto" w:fill="FFFF99"/>
          <w:rtl/>
        </w:rPr>
        <w:t>הוספת תקנת משנה 2(ג)</w:t>
      </w:r>
      <w:bookmarkEnd w:id="2"/>
    </w:p>
    <w:p w14:paraId="09DB7468" w14:textId="77777777" w:rsidR="00094DD9" w:rsidRDefault="00094DD9" w:rsidP="00D81CBF">
      <w:pPr>
        <w:pStyle w:val="P00"/>
        <w:spacing w:before="72"/>
        <w:ind w:left="0" w:right="1134"/>
        <w:rPr>
          <w:rStyle w:val="default"/>
          <w:rFonts w:cs="FrankRuehl" w:hint="cs"/>
          <w:rtl/>
        </w:rPr>
      </w:pPr>
      <w:bookmarkStart w:id="3" w:name="Seif3"/>
      <w:bookmarkEnd w:id="3"/>
      <w:r>
        <w:rPr>
          <w:lang w:val="he-IL"/>
        </w:rPr>
        <w:pict w14:anchorId="01DE2DB2">
          <v:rect id="_x0000_s1125" style="position:absolute;left:0;text-align:left;margin-left:464.5pt;margin-top:8.05pt;width:75.05pt;height:12.25pt;z-index:251654144" o:allowincell="f" filled="f" stroked="f" strokecolor="lime" strokeweight=".25pt">
            <v:textbox style="mso-next-textbox:#_x0000_s1125" inset="0,0,0,0">
              <w:txbxContent>
                <w:p w14:paraId="2C6B96B4" w14:textId="77777777" w:rsidR="00DF712A" w:rsidRDefault="00D81CBF" w:rsidP="00094DD9">
                  <w:pPr>
                    <w:spacing w:line="160" w:lineRule="exact"/>
                    <w:jc w:val="left"/>
                    <w:rPr>
                      <w:rFonts w:cs="Miriam" w:hint="cs"/>
                      <w:noProof/>
                      <w:sz w:val="18"/>
                      <w:szCs w:val="18"/>
                      <w:rtl/>
                    </w:rPr>
                  </w:pPr>
                  <w:r>
                    <w:rPr>
                      <w:rFonts w:cs="Miriam" w:hint="cs"/>
                      <w:sz w:val="18"/>
                      <w:szCs w:val="18"/>
                      <w:rtl/>
                    </w:rPr>
                    <w:t>מינוי היושב ראש</w:t>
                  </w:r>
                </w:p>
              </w:txbxContent>
            </v:textbox>
            <w10:anchorlock/>
          </v:rect>
        </w:pict>
      </w:r>
      <w:r>
        <w:rPr>
          <w:rStyle w:val="big-number"/>
          <w:rFonts w:cs="Miriam" w:hint="cs"/>
          <w:rtl/>
        </w:rPr>
        <w:t>3</w:t>
      </w:r>
      <w:r>
        <w:rPr>
          <w:rStyle w:val="big-number"/>
          <w:rFonts w:cs="Miriam"/>
          <w:rtl/>
        </w:rPr>
        <w:t>.</w:t>
      </w:r>
      <w:r>
        <w:rPr>
          <w:rStyle w:val="big-number"/>
          <w:rFonts w:cs="Miriam"/>
          <w:rtl/>
        </w:rPr>
        <w:tab/>
      </w:r>
      <w:r w:rsidR="00D81CBF">
        <w:rPr>
          <w:rStyle w:val="default"/>
          <w:rFonts w:cs="FrankRuehl" w:hint="cs"/>
          <w:rtl/>
        </w:rPr>
        <w:t>השר ימנה את יושב ראש הוועדה מקרב חבריה.</w:t>
      </w:r>
    </w:p>
    <w:p w14:paraId="430D6624" w14:textId="77777777" w:rsidR="00094DD9" w:rsidRDefault="00094DD9" w:rsidP="00D81CBF">
      <w:pPr>
        <w:pStyle w:val="P00"/>
        <w:spacing w:before="72"/>
        <w:ind w:left="0" w:right="1134"/>
        <w:rPr>
          <w:rStyle w:val="default"/>
          <w:rFonts w:cs="FrankRuehl" w:hint="cs"/>
          <w:rtl/>
        </w:rPr>
      </w:pPr>
      <w:bookmarkStart w:id="4" w:name="Seif4"/>
      <w:bookmarkEnd w:id="4"/>
      <w:r>
        <w:rPr>
          <w:lang w:val="he-IL"/>
        </w:rPr>
        <w:pict w14:anchorId="438BB073">
          <v:rect id="_x0000_s1126" style="position:absolute;left:0;text-align:left;margin-left:464.5pt;margin-top:8.05pt;width:75.05pt;height:12.85pt;z-index:251655168" o:allowincell="f" filled="f" stroked="f" strokecolor="lime" strokeweight=".25pt">
            <v:textbox style="mso-next-textbox:#_x0000_s1126" inset="0,0,0,0">
              <w:txbxContent>
                <w:p w14:paraId="67D22A9C" w14:textId="77777777" w:rsidR="00DF712A" w:rsidRDefault="00D81CBF" w:rsidP="00094DD9">
                  <w:pPr>
                    <w:spacing w:line="160" w:lineRule="exact"/>
                    <w:jc w:val="left"/>
                    <w:rPr>
                      <w:rFonts w:cs="Miriam" w:hint="cs"/>
                      <w:noProof/>
                      <w:sz w:val="18"/>
                      <w:szCs w:val="18"/>
                      <w:rtl/>
                    </w:rPr>
                  </w:pPr>
                  <w:r>
                    <w:rPr>
                      <w:rFonts w:cs="Miriam" w:hint="cs"/>
                      <w:sz w:val="18"/>
                      <w:szCs w:val="18"/>
                      <w:rtl/>
                    </w:rPr>
                    <w:t>כינוס הוועדה</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D81CBF">
        <w:rPr>
          <w:rStyle w:val="default"/>
          <w:rFonts w:cs="FrankRuehl" w:hint="cs"/>
          <w:rtl/>
        </w:rPr>
        <w:t xml:space="preserve">הוועדה תתכנס, ככל הנדרש, לצורך דיון בדין וחשבון השנתי של הנציבות, לצורך המלצה בדבר הקצאת משאבים וכן </w:t>
      </w:r>
      <w:r w:rsidR="00D81CBF">
        <w:rPr>
          <w:rStyle w:val="default"/>
          <w:rFonts w:cs="FrankRuehl"/>
          <w:rtl/>
        </w:rPr>
        <w:t>–</w:t>
      </w:r>
    </w:p>
    <w:p w14:paraId="74143AEE" w14:textId="77777777" w:rsidR="00D81CBF" w:rsidRDefault="00D81CBF" w:rsidP="00D81C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מיוזמת היושב ראש;</w:t>
      </w:r>
    </w:p>
    <w:p w14:paraId="4725C415" w14:textId="77777777" w:rsidR="00D81CBF" w:rsidRDefault="00D81CBF" w:rsidP="00D81C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פי דרישת הנציב;</w:t>
      </w:r>
    </w:p>
    <w:p w14:paraId="0EE02AC8" w14:textId="77777777" w:rsidR="00D81CBF" w:rsidRDefault="00D81CBF" w:rsidP="00D81C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פי דרישת שליש לפחות מחברי הוועדה.</w:t>
      </w:r>
    </w:p>
    <w:p w14:paraId="48D5E344" w14:textId="77777777" w:rsidR="00094DD9" w:rsidRDefault="00094DD9" w:rsidP="00D81CBF">
      <w:pPr>
        <w:pStyle w:val="P00"/>
        <w:spacing w:before="72"/>
        <w:ind w:left="0" w:right="1134"/>
        <w:rPr>
          <w:rStyle w:val="default"/>
          <w:rFonts w:cs="FrankRuehl" w:hint="cs"/>
          <w:rtl/>
        </w:rPr>
      </w:pPr>
      <w:bookmarkStart w:id="5" w:name="Seif5"/>
      <w:bookmarkEnd w:id="5"/>
      <w:r>
        <w:rPr>
          <w:lang w:val="he-IL"/>
        </w:rPr>
        <w:pict w14:anchorId="60FCFAC1">
          <v:rect id="_x0000_s1127" style="position:absolute;left:0;text-align:left;margin-left:464.5pt;margin-top:8.05pt;width:75.05pt;height:18.1pt;z-index:251656192" o:allowincell="f" filled="f" stroked="f" strokecolor="lime" strokeweight=".25pt">
            <v:textbox inset="0,0,0,0">
              <w:txbxContent>
                <w:p w14:paraId="48990353" w14:textId="77777777" w:rsidR="00DF712A" w:rsidRDefault="00D81CBF" w:rsidP="00094DD9">
                  <w:pPr>
                    <w:spacing w:line="160" w:lineRule="exact"/>
                    <w:jc w:val="left"/>
                    <w:rPr>
                      <w:rFonts w:cs="Miriam" w:hint="cs"/>
                      <w:noProof/>
                      <w:sz w:val="18"/>
                      <w:szCs w:val="18"/>
                      <w:rtl/>
                    </w:rPr>
                  </w:pPr>
                  <w:r>
                    <w:rPr>
                      <w:rFonts w:cs="Miriam" w:hint="cs"/>
                      <w:sz w:val="18"/>
                      <w:szCs w:val="18"/>
                      <w:rtl/>
                    </w:rPr>
                    <w:t>הזמנות</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B4509A">
        <w:rPr>
          <w:rStyle w:val="default"/>
          <w:rFonts w:cs="FrankRuehl" w:hint="cs"/>
          <w:rtl/>
        </w:rPr>
        <w:t>(א)</w:t>
      </w:r>
      <w:r w:rsidR="00B4509A">
        <w:rPr>
          <w:rStyle w:val="default"/>
          <w:rFonts w:cs="FrankRuehl" w:hint="cs"/>
          <w:rtl/>
        </w:rPr>
        <w:tab/>
      </w:r>
      <w:r w:rsidR="00D81CBF">
        <w:rPr>
          <w:rStyle w:val="default"/>
          <w:rFonts w:cs="FrankRuehl" w:hint="cs"/>
          <w:rtl/>
        </w:rPr>
        <w:t>הוועדה תכונס בהזמנה בכתב של היושב ראש שיצורף לה סדר היום.</w:t>
      </w:r>
    </w:p>
    <w:p w14:paraId="507C92C6" w14:textId="77777777" w:rsidR="00D81CBF" w:rsidRDefault="00D81CBF" w:rsidP="00D81C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יוזמן לכל ישיבות הוועדה.</w:t>
      </w:r>
    </w:p>
    <w:p w14:paraId="5617A56C" w14:textId="77777777" w:rsidR="00D81CBF" w:rsidRDefault="00D81CBF" w:rsidP="00D81C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הוועדה רשאי להזמין לישיבות הוועדה מומחים ובעלי עניין, לפי הצורך.</w:t>
      </w:r>
    </w:p>
    <w:p w14:paraId="643204DC" w14:textId="77777777" w:rsidR="00273C7A" w:rsidRDefault="00273C7A" w:rsidP="00E86B60">
      <w:pPr>
        <w:pStyle w:val="P00"/>
        <w:spacing w:before="72"/>
        <w:ind w:left="0" w:right="1134"/>
        <w:rPr>
          <w:rStyle w:val="default"/>
          <w:rFonts w:cs="FrankRuehl" w:hint="cs"/>
          <w:rtl/>
        </w:rPr>
      </w:pPr>
      <w:bookmarkStart w:id="6" w:name="Seif6"/>
      <w:bookmarkEnd w:id="6"/>
      <w:r>
        <w:rPr>
          <w:lang w:val="he-IL"/>
        </w:rPr>
        <w:pict w14:anchorId="642C99D3">
          <v:rect id="_x0000_s1166" style="position:absolute;left:0;text-align:left;margin-left:464.5pt;margin-top:8.05pt;width:75.05pt;height:18.1pt;z-index:251657216" o:allowincell="f" filled="f" stroked="f" strokecolor="lime" strokeweight=".25pt">
            <v:textbox inset="0,0,0,0">
              <w:txbxContent>
                <w:p w14:paraId="4009226C" w14:textId="77777777" w:rsidR="00273C7A" w:rsidRDefault="00D81CBF" w:rsidP="00273C7A">
                  <w:pPr>
                    <w:spacing w:line="160" w:lineRule="exact"/>
                    <w:jc w:val="left"/>
                    <w:rPr>
                      <w:rFonts w:cs="Miriam" w:hint="cs"/>
                      <w:noProof/>
                      <w:sz w:val="18"/>
                      <w:szCs w:val="18"/>
                      <w:rtl/>
                    </w:rPr>
                  </w:pPr>
                  <w:r>
                    <w:rPr>
                      <w:rFonts w:cs="Miriam" w:hint="cs"/>
                      <w:sz w:val="18"/>
                      <w:szCs w:val="18"/>
                      <w:rtl/>
                    </w:rPr>
                    <w:t>קביעת סדר היום</w:t>
                  </w:r>
                </w:p>
              </w:txbxContent>
            </v:textbox>
            <w10:anchorlock/>
          </v:rect>
        </w:pict>
      </w:r>
      <w:r w:rsidR="00A308E0">
        <w:rPr>
          <w:rStyle w:val="big-number"/>
          <w:rFonts w:cs="Miriam" w:hint="cs"/>
          <w:rtl/>
        </w:rPr>
        <w:t>6</w:t>
      </w:r>
      <w:r>
        <w:rPr>
          <w:rStyle w:val="big-number"/>
          <w:rFonts w:cs="Miriam"/>
          <w:rtl/>
        </w:rPr>
        <w:t>.</w:t>
      </w:r>
      <w:r>
        <w:rPr>
          <w:rStyle w:val="big-number"/>
          <w:rFonts w:cs="Miriam"/>
          <w:rtl/>
        </w:rPr>
        <w:tab/>
      </w:r>
      <w:r w:rsidR="00E86B60">
        <w:rPr>
          <w:rStyle w:val="default"/>
          <w:rFonts w:cs="FrankRuehl" w:hint="cs"/>
          <w:rtl/>
        </w:rPr>
        <w:t>סדר היום לישיבות הוועדה ייקבע בידי היושב ראש בהתייעצות עם הנציב.</w:t>
      </w:r>
    </w:p>
    <w:p w14:paraId="6DF169F3" w14:textId="77777777" w:rsidR="00677514" w:rsidRDefault="00273C7A" w:rsidP="00E86B60">
      <w:pPr>
        <w:pStyle w:val="P00"/>
        <w:spacing w:before="72"/>
        <w:ind w:left="0" w:right="1134"/>
        <w:rPr>
          <w:rStyle w:val="default"/>
          <w:rFonts w:cs="FrankRuehl" w:hint="cs"/>
          <w:rtl/>
        </w:rPr>
      </w:pPr>
      <w:bookmarkStart w:id="7" w:name="Seif7"/>
      <w:bookmarkEnd w:id="7"/>
      <w:r>
        <w:rPr>
          <w:lang w:val="he-IL"/>
        </w:rPr>
        <w:pict w14:anchorId="1E161A15">
          <v:rect id="_x0000_s1167" style="position:absolute;left:0;text-align:left;margin-left:464.5pt;margin-top:8.05pt;width:75.05pt;height:18.1pt;z-index:251658240" o:allowincell="f" filled="f" stroked="f" strokecolor="lime" strokeweight=".25pt">
            <v:textbox inset="0,0,0,0">
              <w:txbxContent>
                <w:p w14:paraId="2A3717B0" w14:textId="77777777" w:rsidR="00273C7A" w:rsidRDefault="00E86B60" w:rsidP="00273C7A">
                  <w:pPr>
                    <w:spacing w:line="160" w:lineRule="exact"/>
                    <w:jc w:val="left"/>
                    <w:rPr>
                      <w:rFonts w:cs="Miriam" w:hint="cs"/>
                      <w:noProof/>
                      <w:sz w:val="18"/>
                      <w:szCs w:val="18"/>
                      <w:rtl/>
                    </w:rPr>
                  </w:pPr>
                  <w:r>
                    <w:rPr>
                      <w:rFonts w:cs="Miriam" w:hint="cs"/>
                      <w:sz w:val="18"/>
                      <w:szCs w:val="18"/>
                      <w:rtl/>
                    </w:rPr>
                    <w:t>שינויים בסדר היום</w:t>
                  </w:r>
                </w:p>
              </w:txbxContent>
            </v:textbox>
            <w10:anchorlock/>
          </v:rect>
        </w:pict>
      </w:r>
      <w:r w:rsidR="00677514">
        <w:rPr>
          <w:rStyle w:val="big-number"/>
          <w:rFonts w:cs="Miriam" w:hint="cs"/>
          <w:rtl/>
        </w:rPr>
        <w:t>7</w:t>
      </w:r>
      <w:r>
        <w:rPr>
          <w:rStyle w:val="big-number"/>
          <w:rFonts w:cs="Miriam"/>
          <w:rtl/>
        </w:rPr>
        <w:t>.</w:t>
      </w:r>
      <w:r>
        <w:rPr>
          <w:rStyle w:val="big-number"/>
          <w:rFonts w:cs="Miriam"/>
          <w:rtl/>
        </w:rPr>
        <w:tab/>
      </w:r>
      <w:r w:rsidR="00E86B60">
        <w:rPr>
          <w:rStyle w:val="default"/>
          <w:rFonts w:cs="FrankRuehl" w:hint="cs"/>
          <w:rtl/>
        </w:rPr>
        <w:t>(א)</w:t>
      </w:r>
      <w:r w:rsidR="00E86B60">
        <w:rPr>
          <w:rStyle w:val="default"/>
          <w:rFonts w:cs="FrankRuehl" w:hint="cs"/>
          <w:rtl/>
        </w:rPr>
        <w:tab/>
        <w:t>הצעה לשנות את סדר היום תוגש רק לפני הישיבה או מיד עם פתיחתה; לפני ההצבעה רשאי בעל ההצעה להסבירה בקיצור, ונציג אחד של המתנגדים רשאי להשיב.</w:t>
      </w:r>
    </w:p>
    <w:p w14:paraId="617A7D0C" w14:textId="77777777" w:rsidR="00E86B60" w:rsidRDefault="00E86B60" w:rsidP="00E86B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לקבלת הצעה כאמור דרוש רוב חברי הוועדה.</w:t>
      </w:r>
    </w:p>
    <w:p w14:paraId="331C133F" w14:textId="77777777" w:rsidR="00273C7A" w:rsidRDefault="00273C7A" w:rsidP="00E86B60">
      <w:pPr>
        <w:pStyle w:val="P00"/>
        <w:spacing w:before="72"/>
        <w:ind w:left="0" w:right="1134"/>
        <w:rPr>
          <w:rStyle w:val="default"/>
          <w:rFonts w:cs="FrankRuehl" w:hint="cs"/>
          <w:rtl/>
        </w:rPr>
      </w:pPr>
      <w:bookmarkStart w:id="8" w:name="Seif8"/>
      <w:bookmarkEnd w:id="8"/>
      <w:r>
        <w:rPr>
          <w:lang w:val="he-IL"/>
        </w:rPr>
        <w:pict w14:anchorId="50F356B8">
          <v:rect id="_x0000_s1168" style="position:absolute;left:0;text-align:left;margin-left:464.5pt;margin-top:8.05pt;width:75.05pt;height:13.9pt;z-index:251659264" o:allowincell="f" filled="f" stroked="f" strokecolor="lime" strokeweight=".25pt">
            <v:textbox inset="0,0,0,0">
              <w:txbxContent>
                <w:p w14:paraId="7C9EBFBE" w14:textId="77777777" w:rsidR="00273C7A" w:rsidRDefault="00E86B60" w:rsidP="00273C7A">
                  <w:pPr>
                    <w:spacing w:line="160" w:lineRule="exact"/>
                    <w:jc w:val="left"/>
                    <w:rPr>
                      <w:rFonts w:cs="Miriam" w:hint="cs"/>
                      <w:noProof/>
                      <w:sz w:val="18"/>
                      <w:szCs w:val="18"/>
                      <w:rtl/>
                    </w:rPr>
                  </w:pPr>
                  <w:r>
                    <w:rPr>
                      <w:rFonts w:cs="Miriam" w:hint="cs"/>
                      <w:sz w:val="18"/>
                      <w:szCs w:val="18"/>
                      <w:rtl/>
                    </w:rPr>
                    <w:t>מניין חוקי</w:t>
                  </w:r>
                </w:p>
              </w:txbxContent>
            </v:textbox>
            <w10:anchorlock/>
          </v:rect>
        </w:pict>
      </w:r>
      <w:r w:rsidR="00677514">
        <w:rPr>
          <w:rStyle w:val="big-number"/>
          <w:rFonts w:cs="Miriam" w:hint="cs"/>
          <w:rtl/>
        </w:rPr>
        <w:t>8</w:t>
      </w:r>
      <w:r>
        <w:rPr>
          <w:rStyle w:val="big-number"/>
          <w:rFonts w:cs="Miriam"/>
          <w:rtl/>
        </w:rPr>
        <w:t>.</w:t>
      </w:r>
      <w:r>
        <w:rPr>
          <w:rStyle w:val="big-number"/>
          <w:rFonts w:cs="Miriam"/>
          <w:rtl/>
        </w:rPr>
        <w:tab/>
      </w:r>
      <w:r w:rsidR="00D32120">
        <w:rPr>
          <w:rStyle w:val="default"/>
          <w:rFonts w:cs="FrankRuehl" w:hint="cs"/>
          <w:rtl/>
        </w:rPr>
        <w:t>(א)</w:t>
      </w:r>
      <w:r w:rsidR="00D32120">
        <w:rPr>
          <w:rStyle w:val="default"/>
          <w:rFonts w:cs="FrankRuehl" w:hint="cs"/>
          <w:rtl/>
        </w:rPr>
        <w:tab/>
      </w:r>
      <w:r w:rsidR="00E86B60">
        <w:rPr>
          <w:rStyle w:val="default"/>
          <w:rFonts w:cs="FrankRuehl" w:hint="cs"/>
          <w:rtl/>
        </w:rPr>
        <w:t>שליש מחברי הוועדה יהיו מניין חוקי בישיבותיה.</w:t>
      </w:r>
    </w:p>
    <w:p w14:paraId="571B2237" w14:textId="77777777" w:rsidR="00E86B60" w:rsidRDefault="00E86B60" w:rsidP="00E86B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נדון בשנית נושא שהועלה בישיבת ועדה שלא היה בה מניין חוקי, יהיה המניין החוקי לגביו רוב החברים הנוכחים.</w:t>
      </w:r>
    </w:p>
    <w:p w14:paraId="46FC7903" w14:textId="77777777" w:rsidR="00D81CBF" w:rsidRDefault="00D81CBF" w:rsidP="00E86B60">
      <w:pPr>
        <w:pStyle w:val="P00"/>
        <w:spacing w:before="72"/>
        <w:ind w:left="0" w:right="1134"/>
        <w:rPr>
          <w:rStyle w:val="default"/>
          <w:rFonts w:cs="FrankRuehl" w:hint="cs"/>
          <w:rtl/>
        </w:rPr>
      </w:pPr>
      <w:bookmarkStart w:id="9" w:name="Seif9"/>
      <w:bookmarkEnd w:id="9"/>
      <w:r>
        <w:rPr>
          <w:lang w:val="he-IL"/>
        </w:rPr>
        <w:pict w14:anchorId="2252A870">
          <v:rect id="_x0000_s1184" style="position:absolute;left:0;text-align:left;margin-left:464.5pt;margin-top:8.05pt;width:75.05pt;height:13.9pt;z-index:251660288" o:allowincell="f" filled="f" stroked="f" strokecolor="lime" strokeweight=".25pt">
            <v:textbox inset="0,0,0,0">
              <w:txbxContent>
                <w:p w14:paraId="6981A80A" w14:textId="77777777" w:rsidR="00D81CBF" w:rsidRDefault="00E86B60" w:rsidP="00D81CBF">
                  <w:pPr>
                    <w:spacing w:line="160" w:lineRule="exact"/>
                    <w:jc w:val="left"/>
                    <w:rPr>
                      <w:rFonts w:cs="Miriam" w:hint="cs"/>
                      <w:noProof/>
                      <w:sz w:val="18"/>
                      <w:szCs w:val="18"/>
                      <w:rtl/>
                    </w:rPr>
                  </w:pPr>
                  <w:r>
                    <w:rPr>
                      <w:rFonts w:cs="Miriam" w:hint="cs"/>
                      <w:sz w:val="18"/>
                      <w:szCs w:val="18"/>
                      <w:rtl/>
                    </w:rPr>
                    <w:t>קבלת החלטות</w:t>
                  </w:r>
                </w:p>
              </w:txbxContent>
            </v:textbox>
            <w10:anchorlock/>
          </v:rect>
        </w:pict>
      </w:r>
      <w:r w:rsidR="00E86B60">
        <w:rPr>
          <w:rStyle w:val="big-number"/>
          <w:rFonts w:cs="Miriam" w:hint="cs"/>
          <w:rtl/>
        </w:rPr>
        <w:t>9</w:t>
      </w:r>
      <w:r>
        <w:rPr>
          <w:rStyle w:val="big-number"/>
          <w:rFonts w:cs="Miriam"/>
          <w:rtl/>
        </w:rPr>
        <w:t>.</w:t>
      </w:r>
      <w:r>
        <w:rPr>
          <w:rStyle w:val="big-number"/>
          <w:rFonts w:cs="Miriam"/>
          <w:rtl/>
        </w:rPr>
        <w:tab/>
      </w:r>
      <w:r w:rsidR="00E86B60">
        <w:rPr>
          <w:rStyle w:val="default"/>
          <w:rFonts w:cs="FrankRuehl" w:hint="cs"/>
          <w:rtl/>
        </w:rPr>
        <w:t xml:space="preserve">החלטות יתקבלו ברוב קולות המצביעים בישיבה; מספר קולות שקול משמעו </w:t>
      </w:r>
      <w:r w:rsidR="00E86B60">
        <w:rPr>
          <w:rStyle w:val="default"/>
          <w:rFonts w:cs="FrankRuehl"/>
          <w:rtl/>
        </w:rPr>
        <w:t>–</w:t>
      </w:r>
      <w:r w:rsidR="00E86B60">
        <w:rPr>
          <w:rStyle w:val="default"/>
          <w:rFonts w:cs="FrankRuehl" w:hint="cs"/>
          <w:rtl/>
        </w:rPr>
        <w:t xml:space="preserve"> דחיית ההצעה.</w:t>
      </w:r>
    </w:p>
    <w:p w14:paraId="5EBB4A8B" w14:textId="77777777" w:rsidR="00D81CBF" w:rsidRDefault="00D81CBF" w:rsidP="00E86B60">
      <w:pPr>
        <w:pStyle w:val="P00"/>
        <w:spacing w:before="72"/>
        <w:ind w:left="0" w:right="1134"/>
        <w:rPr>
          <w:rStyle w:val="default"/>
          <w:rFonts w:cs="FrankRuehl" w:hint="cs"/>
          <w:rtl/>
        </w:rPr>
      </w:pPr>
      <w:bookmarkStart w:id="10" w:name="Seif10"/>
      <w:bookmarkEnd w:id="10"/>
      <w:r>
        <w:rPr>
          <w:lang w:val="he-IL"/>
        </w:rPr>
        <w:pict w14:anchorId="58149120">
          <v:rect id="_x0000_s1185" style="position:absolute;left:0;text-align:left;margin-left:464.5pt;margin-top:8.05pt;width:75.05pt;height:13.9pt;z-index:251661312" o:allowincell="f" filled="f" stroked="f" strokecolor="lime" strokeweight=".25pt">
            <v:textbox inset="0,0,0,0">
              <w:txbxContent>
                <w:p w14:paraId="11661607" w14:textId="77777777" w:rsidR="00D81CBF" w:rsidRDefault="00E86B60" w:rsidP="00D81CBF">
                  <w:pPr>
                    <w:spacing w:line="160" w:lineRule="exact"/>
                    <w:jc w:val="left"/>
                    <w:rPr>
                      <w:rFonts w:cs="Miriam" w:hint="cs"/>
                      <w:noProof/>
                      <w:sz w:val="18"/>
                      <w:szCs w:val="18"/>
                      <w:rtl/>
                    </w:rPr>
                  </w:pPr>
                  <w:r>
                    <w:rPr>
                      <w:rFonts w:cs="Miriam" w:hint="cs"/>
                      <w:sz w:val="18"/>
                      <w:szCs w:val="18"/>
                      <w:rtl/>
                    </w:rPr>
                    <w:t>פרוטוקול</w:t>
                  </w:r>
                </w:p>
              </w:txbxContent>
            </v:textbox>
            <w10:anchorlock/>
          </v:rect>
        </w:pict>
      </w:r>
      <w:r w:rsidR="00E86B60">
        <w:rPr>
          <w:rStyle w:val="big-number"/>
          <w:rFonts w:cs="Miriam" w:hint="cs"/>
          <w:rtl/>
        </w:rPr>
        <w:t>10</w:t>
      </w:r>
      <w:r>
        <w:rPr>
          <w:rStyle w:val="big-number"/>
          <w:rFonts w:cs="Miriam"/>
          <w:rtl/>
        </w:rPr>
        <w:t>.</w:t>
      </w:r>
      <w:r>
        <w:rPr>
          <w:rStyle w:val="big-number"/>
          <w:rFonts w:cs="Miriam"/>
          <w:rtl/>
        </w:rPr>
        <w:tab/>
      </w:r>
      <w:r w:rsidR="00E86B60">
        <w:rPr>
          <w:rStyle w:val="default"/>
          <w:rFonts w:cs="FrankRuehl" w:hint="cs"/>
          <w:rtl/>
        </w:rPr>
        <w:t>היושב ראש ירשום סיכום של הדיון והעתק ממנו יישלח לנציב ולכל חברי הוועדה.</w:t>
      </w:r>
    </w:p>
    <w:p w14:paraId="5227AA42" w14:textId="77777777" w:rsidR="00D81CBF" w:rsidRDefault="00D81CBF" w:rsidP="00E86B60">
      <w:pPr>
        <w:pStyle w:val="P00"/>
        <w:spacing w:before="72"/>
        <w:ind w:left="0" w:right="1134"/>
        <w:rPr>
          <w:rStyle w:val="default"/>
          <w:rFonts w:cs="FrankRuehl" w:hint="cs"/>
          <w:rtl/>
        </w:rPr>
      </w:pPr>
      <w:bookmarkStart w:id="11" w:name="Seif11"/>
      <w:bookmarkEnd w:id="11"/>
      <w:r>
        <w:rPr>
          <w:lang w:val="he-IL"/>
        </w:rPr>
        <w:pict w14:anchorId="28105A8F">
          <v:rect id="_x0000_s1186" style="position:absolute;left:0;text-align:left;margin-left:464.5pt;margin-top:8.05pt;width:75.05pt;height:13.9pt;z-index:251662336" o:allowincell="f" filled="f" stroked="f" strokecolor="lime" strokeweight=".25pt">
            <v:textbox inset="0,0,0,0">
              <w:txbxContent>
                <w:p w14:paraId="5C94C66E" w14:textId="77777777" w:rsidR="00D81CBF" w:rsidRDefault="00E86B60" w:rsidP="00D81CBF">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E86B60">
        <w:rPr>
          <w:rStyle w:val="big-number"/>
          <w:rFonts w:cs="Miriam" w:hint="cs"/>
          <w:rtl/>
        </w:rPr>
        <w:t>11</w:t>
      </w:r>
      <w:r>
        <w:rPr>
          <w:rStyle w:val="big-number"/>
          <w:rFonts w:cs="Miriam"/>
          <w:rtl/>
        </w:rPr>
        <w:t>.</w:t>
      </w:r>
      <w:r>
        <w:rPr>
          <w:rStyle w:val="big-number"/>
          <w:rFonts w:cs="Miriam"/>
          <w:rtl/>
        </w:rPr>
        <w:tab/>
      </w:r>
      <w:r w:rsidR="00E86B60">
        <w:rPr>
          <w:rStyle w:val="default"/>
          <w:rFonts w:cs="FrankRuehl" w:hint="cs"/>
          <w:rtl/>
        </w:rPr>
        <w:t>תחילתן של תקנות אלה שלושים ימים מיום פרסומן.</w:t>
      </w:r>
    </w:p>
    <w:p w14:paraId="56BB982B" w14:textId="77777777" w:rsidR="00772CD8" w:rsidRDefault="00772CD8" w:rsidP="00431CAA">
      <w:pPr>
        <w:pStyle w:val="P00"/>
        <w:spacing w:before="72"/>
        <w:ind w:left="0" w:right="1134"/>
        <w:rPr>
          <w:rStyle w:val="default"/>
          <w:rFonts w:cs="FrankRuehl" w:hint="cs"/>
          <w:rtl/>
        </w:rPr>
      </w:pPr>
    </w:p>
    <w:p w14:paraId="75C97C90" w14:textId="77777777" w:rsidR="00D25D5C" w:rsidRDefault="00D25D5C" w:rsidP="00431CAA">
      <w:pPr>
        <w:pStyle w:val="P00"/>
        <w:spacing w:before="72"/>
        <w:ind w:left="0" w:right="1134"/>
        <w:rPr>
          <w:rStyle w:val="default"/>
          <w:rFonts w:cs="FrankRuehl" w:hint="cs"/>
          <w:rtl/>
        </w:rPr>
      </w:pPr>
    </w:p>
    <w:p w14:paraId="4DBCA370" w14:textId="77777777" w:rsidR="00D50C5F" w:rsidRDefault="00E86B60" w:rsidP="00E86B60">
      <w:pPr>
        <w:pStyle w:val="sig-0"/>
        <w:tabs>
          <w:tab w:val="clear" w:pos="4820"/>
          <w:tab w:val="center" w:pos="5103"/>
        </w:tabs>
        <w:ind w:left="0" w:right="1134"/>
        <w:rPr>
          <w:rFonts w:cs="FrankRuehl" w:hint="cs"/>
          <w:sz w:val="26"/>
          <w:rtl/>
        </w:rPr>
      </w:pPr>
      <w:r>
        <w:rPr>
          <w:rFonts w:cs="FrankRuehl" w:hint="cs"/>
          <w:sz w:val="26"/>
          <w:rtl/>
        </w:rPr>
        <w:t>ו</w:t>
      </w:r>
      <w:r w:rsidR="00D32120">
        <w:rPr>
          <w:rFonts w:cs="FrankRuehl" w:hint="cs"/>
          <w:sz w:val="26"/>
          <w:rtl/>
        </w:rPr>
        <w:t>'</w:t>
      </w:r>
      <w:r w:rsidR="008D1BB1">
        <w:rPr>
          <w:rFonts w:cs="FrankRuehl" w:hint="cs"/>
          <w:sz w:val="26"/>
          <w:rtl/>
        </w:rPr>
        <w:t xml:space="preserve"> באלול</w:t>
      </w:r>
      <w:r w:rsidR="00BD1625">
        <w:rPr>
          <w:rFonts w:cs="FrankRuehl" w:hint="cs"/>
          <w:sz w:val="26"/>
          <w:rtl/>
        </w:rPr>
        <w:t xml:space="preserve"> התשס"ט (</w:t>
      </w:r>
      <w:r>
        <w:rPr>
          <w:rFonts w:cs="FrankRuehl" w:hint="cs"/>
          <w:sz w:val="26"/>
          <w:rtl/>
        </w:rPr>
        <w:t>26 באוגוסט</w:t>
      </w:r>
      <w:r w:rsidR="00BD1625">
        <w:rPr>
          <w:rFonts w:cs="FrankRuehl" w:hint="cs"/>
          <w:sz w:val="26"/>
          <w:rtl/>
        </w:rPr>
        <w:t xml:space="preserve"> 2009)</w:t>
      </w:r>
      <w:r w:rsidR="00D32120">
        <w:rPr>
          <w:rFonts w:cs="FrankRuehl" w:hint="cs"/>
          <w:sz w:val="26"/>
          <w:rtl/>
        </w:rPr>
        <w:tab/>
      </w:r>
      <w:r>
        <w:rPr>
          <w:rFonts w:cs="FrankRuehl" w:hint="cs"/>
          <w:sz w:val="26"/>
          <w:rtl/>
        </w:rPr>
        <w:t>בנימין (פואד) בן אליעזר</w:t>
      </w:r>
    </w:p>
    <w:p w14:paraId="58D6D4BB" w14:textId="77777777" w:rsidR="00D50C5F" w:rsidRDefault="00D50C5F" w:rsidP="00E86B60">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E86B60">
        <w:rPr>
          <w:rFonts w:cs="FrankRuehl" w:hint="cs"/>
          <w:sz w:val="22"/>
          <w:rtl/>
        </w:rPr>
        <w:t>שר התעשיה המסחר והתעסוקה</w:t>
      </w:r>
    </w:p>
    <w:p w14:paraId="44ABE9FE" w14:textId="77777777" w:rsidR="00D81CBF" w:rsidRDefault="00D81CBF" w:rsidP="00927A15">
      <w:pPr>
        <w:pStyle w:val="P00"/>
        <w:spacing w:before="72"/>
        <w:ind w:left="0" w:right="1134"/>
        <w:rPr>
          <w:rStyle w:val="default"/>
          <w:rFonts w:cs="FrankRuehl" w:hint="cs"/>
          <w:rtl/>
        </w:rPr>
      </w:pPr>
    </w:p>
    <w:p w14:paraId="123C89DF" w14:textId="77777777" w:rsidR="00927A15" w:rsidRDefault="00927A15" w:rsidP="00927A15">
      <w:pPr>
        <w:pStyle w:val="P00"/>
        <w:spacing w:before="72"/>
        <w:ind w:left="0" w:right="1134"/>
        <w:rPr>
          <w:rStyle w:val="default"/>
          <w:rFonts w:cs="FrankRuehl" w:hint="cs"/>
          <w:rtl/>
        </w:rPr>
      </w:pPr>
    </w:p>
    <w:p w14:paraId="3781E643" w14:textId="77777777" w:rsidR="00F5209D" w:rsidRDefault="00F5209D" w:rsidP="00927A15">
      <w:pPr>
        <w:pStyle w:val="P00"/>
        <w:spacing w:before="72"/>
        <w:ind w:left="0" w:right="1134"/>
        <w:rPr>
          <w:rStyle w:val="default"/>
          <w:rFonts w:cs="FrankRuehl"/>
          <w:rtl/>
        </w:rPr>
      </w:pPr>
    </w:p>
    <w:p w14:paraId="0D6B5F4D" w14:textId="77777777" w:rsidR="00F5209D" w:rsidRDefault="00F5209D" w:rsidP="00927A15">
      <w:pPr>
        <w:pStyle w:val="P00"/>
        <w:spacing w:before="72"/>
        <w:ind w:left="0" w:right="1134"/>
        <w:rPr>
          <w:rStyle w:val="default"/>
          <w:rFonts w:cs="FrankRuehl"/>
          <w:rtl/>
        </w:rPr>
      </w:pPr>
    </w:p>
    <w:p w14:paraId="6B33C0F8" w14:textId="77777777" w:rsidR="00F5209D" w:rsidRDefault="00F5209D" w:rsidP="00F5209D">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3B7EEC8B" w14:textId="77777777" w:rsidR="00177393" w:rsidRDefault="00177393" w:rsidP="00F5209D">
      <w:pPr>
        <w:pStyle w:val="P00"/>
        <w:spacing w:before="72"/>
        <w:ind w:left="0" w:right="1134"/>
        <w:jc w:val="center"/>
        <w:rPr>
          <w:rStyle w:val="default"/>
          <w:rFonts w:cs="David"/>
          <w:color w:val="0000FF"/>
          <w:szCs w:val="24"/>
          <w:u w:val="single"/>
          <w:rtl/>
        </w:rPr>
      </w:pPr>
    </w:p>
    <w:p w14:paraId="0F45737B" w14:textId="77777777" w:rsidR="00177393" w:rsidRDefault="00177393" w:rsidP="00F5209D">
      <w:pPr>
        <w:pStyle w:val="P00"/>
        <w:spacing w:before="72"/>
        <w:ind w:left="0" w:right="1134"/>
        <w:jc w:val="center"/>
        <w:rPr>
          <w:rStyle w:val="default"/>
          <w:rFonts w:cs="David"/>
          <w:color w:val="0000FF"/>
          <w:szCs w:val="24"/>
          <w:u w:val="single"/>
          <w:rtl/>
        </w:rPr>
      </w:pPr>
    </w:p>
    <w:p w14:paraId="766BE722" w14:textId="77777777" w:rsidR="00177393" w:rsidRDefault="00177393" w:rsidP="00177393">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248EFF0F" w14:textId="77777777" w:rsidR="00C9259B" w:rsidRPr="00177393" w:rsidRDefault="00C9259B" w:rsidP="00177393">
      <w:pPr>
        <w:pStyle w:val="P00"/>
        <w:spacing w:before="72"/>
        <w:ind w:left="0" w:right="1134"/>
        <w:jc w:val="center"/>
        <w:rPr>
          <w:rStyle w:val="default"/>
          <w:rFonts w:cs="David"/>
          <w:color w:val="0000FF"/>
          <w:szCs w:val="24"/>
          <w:u w:val="single"/>
          <w:rtl/>
        </w:rPr>
      </w:pPr>
    </w:p>
    <w:sectPr w:rsidR="00C9259B" w:rsidRPr="0017739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DEB12" w14:textId="77777777" w:rsidR="00642880" w:rsidRDefault="00642880">
      <w:r>
        <w:separator/>
      </w:r>
    </w:p>
  </w:endnote>
  <w:endnote w:type="continuationSeparator" w:id="0">
    <w:p w14:paraId="21D69DDD" w14:textId="77777777" w:rsidR="00642880" w:rsidRDefault="00642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ED53"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B1617F"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F5FE88"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7393">
      <w:rPr>
        <w:rFonts w:cs="TopType Jerushalmi"/>
        <w:noProof/>
        <w:color w:val="000000"/>
        <w:sz w:val="14"/>
        <w:szCs w:val="14"/>
      </w:rPr>
      <w:t>V:\000-law\yael</w:t>
    </w:r>
    <w:r w:rsidR="00177393">
      <w:rPr>
        <w:rFonts w:cs="TopType Jerushalmi"/>
        <w:noProof/>
        <w:color w:val="000000"/>
        <w:sz w:val="14"/>
        <w:szCs w:val="14"/>
        <w:rtl/>
      </w:rPr>
      <w:t>\כפולים\500_208.</w:t>
    </w:r>
    <w:r w:rsidR="0017739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5683"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79B9">
      <w:rPr>
        <w:rFonts w:hAnsi="FrankRuehl" w:cs="FrankRuehl"/>
        <w:noProof/>
        <w:sz w:val="24"/>
        <w:szCs w:val="24"/>
        <w:rtl/>
      </w:rPr>
      <w:t>3</w:t>
    </w:r>
    <w:r>
      <w:rPr>
        <w:rFonts w:hAnsi="FrankRuehl" w:cs="FrankRuehl"/>
        <w:sz w:val="24"/>
        <w:szCs w:val="24"/>
        <w:rtl/>
      </w:rPr>
      <w:fldChar w:fldCharType="end"/>
    </w:r>
  </w:p>
  <w:p w14:paraId="1B297EB0"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EDE807"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7393">
      <w:rPr>
        <w:rFonts w:cs="TopType Jerushalmi"/>
        <w:noProof/>
        <w:color w:val="000000"/>
        <w:sz w:val="14"/>
        <w:szCs w:val="14"/>
      </w:rPr>
      <w:t>V:\000-law\yael</w:t>
    </w:r>
    <w:r w:rsidR="00177393">
      <w:rPr>
        <w:rFonts w:cs="TopType Jerushalmi"/>
        <w:noProof/>
        <w:color w:val="000000"/>
        <w:sz w:val="14"/>
        <w:szCs w:val="14"/>
        <w:rtl/>
      </w:rPr>
      <w:t>\</w:t>
    </w:r>
    <w:r w:rsidR="00177393">
      <w:rPr>
        <w:rFonts w:cs="Times New Roman" w:hint="cs"/>
        <w:noProof/>
        <w:color w:val="000000"/>
        <w:sz w:val="14"/>
        <w:szCs w:val="14"/>
        <w:rtl/>
      </w:rPr>
      <w:t>כפולים\500_208.</w:t>
    </w:r>
    <w:r w:rsidR="0017739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E2F0" w14:textId="77777777" w:rsidR="00642880" w:rsidRDefault="00642880" w:rsidP="007C57AA">
      <w:pPr>
        <w:spacing w:before="60" w:line="240" w:lineRule="auto"/>
        <w:ind w:right="1134"/>
      </w:pPr>
      <w:r>
        <w:separator/>
      </w:r>
    </w:p>
  </w:footnote>
  <w:footnote w:type="continuationSeparator" w:id="0">
    <w:p w14:paraId="4F32A5D3" w14:textId="77777777" w:rsidR="00642880" w:rsidRDefault="00642880">
      <w:pPr>
        <w:spacing w:before="60"/>
        <w:ind w:right="1134"/>
      </w:pPr>
      <w:r>
        <w:separator/>
      </w:r>
    </w:p>
  </w:footnote>
  <w:footnote w:id="1">
    <w:p w14:paraId="1E64E064" w14:textId="77777777" w:rsidR="00AE5CC9" w:rsidRDefault="00DF712A" w:rsidP="00AE5C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273C7A">
        <w:rPr>
          <w:rFonts w:cs="FrankRuehl" w:hint="cs"/>
          <w:rtl/>
        </w:rPr>
        <w:t xml:space="preserve"> פורסמו</w:t>
      </w:r>
      <w:r>
        <w:rPr>
          <w:rFonts w:cs="FrankRuehl" w:hint="cs"/>
          <w:rtl/>
        </w:rPr>
        <w:t xml:space="preserve"> </w:t>
      </w:r>
      <w:hyperlink r:id="rId1" w:history="1">
        <w:r w:rsidRPr="00AE5CC9">
          <w:rPr>
            <w:rStyle w:val="Hyperlink"/>
            <w:rFonts w:cs="FrankRuehl" w:hint="cs"/>
            <w:rtl/>
          </w:rPr>
          <w:t>ק"ת תשס"ט מס' 68</w:t>
        </w:r>
        <w:r w:rsidR="00273C7A" w:rsidRPr="00AE5CC9">
          <w:rPr>
            <w:rStyle w:val="Hyperlink"/>
            <w:rFonts w:cs="FrankRuehl" w:hint="cs"/>
            <w:rtl/>
          </w:rPr>
          <w:t>1</w:t>
        </w:r>
        <w:r w:rsidR="00F17CC0" w:rsidRPr="00AE5CC9">
          <w:rPr>
            <w:rStyle w:val="Hyperlink"/>
            <w:rFonts w:cs="FrankRuehl" w:hint="cs"/>
            <w:rtl/>
          </w:rPr>
          <w:t>4</w:t>
        </w:r>
      </w:hyperlink>
      <w:r w:rsidR="00083670">
        <w:rPr>
          <w:rFonts w:cs="FrankRuehl" w:hint="cs"/>
          <w:rtl/>
        </w:rPr>
        <w:t xml:space="preserve"> מיום </w:t>
      </w:r>
      <w:r w:rsidR="00140531">
        <w:rPr>
          <w:rFonts w:cs="FrankRuehl" w:hint="cs"/>
          <w:rtl/>
        </w:rPr>
        <w:t>17</w:t>
      </w:r>
      <w:r w:rsidR="00273C7A">
        <w:rPr>
          <w:rFonts w:cs="FrankRuehl" w:hint="cs"/>
          <w:rtl/>
        </w:rPr>
        <w:t>.9</w:t>
      </w:r>
      <w:r w:rsidR="00083670">
        <w:rPr>
          <w:rFonts w:cs="FrankRuehl" w:hint="cs"/>
          <w:rtl/>
        </w:rPr>
        <w:t xml:space="preserve">.2009 עמ' </w:t>
      </w:r>
      <w:r w:rsidR="00F17CC0">
        <w:rPr>
          <w:rFonts w:cs="FrankRuehl" w:hint="cs"/>
          <w:rtl/>
        </w:rPr>
        <w:t>135</w:t>
      </w:r>
      <w:r w:rsidR="00D81CBF">
        <w:rPr>
          <w:rFonts w:cs="FrankRuehl" w:hint="cs"/>
          <w:rtl/>
        </w:rPr>
        <w:t>7</w:t>
      </w:r>
      <w:r>
        <w:rPr>
          <w:rFonts w:cs="FrankRuehl" w:hint="cs"/>
          <w:rtl/>
        </w:rPr>
        <w:t>.</w:t>
      </w:r>
    </w:p>
    <w:p w14:paraId="1F012862" w14:textId="77777777" w:rsidR="005A79B9" w:rsidRDefault="002908AB" w:rsidP="005A79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5A79B9">
          <w:rPr>
            <w:rStyle w:val="Hyperlink"/>
            <w:rFonts w:cs="FrankRuehl" w:hint="cs"/>
            <w:rtl/>
          </w:rPr>
          <w:t>ק"ת תשע"ג מס' 7178</w:t>
        </w:r>
      </w:hyperlink>
      <w:r>
        <w:rPr>
          <w:rFonts w:cs="FrankRuehl" w:hint="cs"/>
          <w:rtl/>
        </w:rPr>
        <w:t xml:space="preserve"> מיום 11.11.2012 עמ' 162 </w:t>
      </w:r>
      <w:r>
        <w:rPr>
          <w:rFonts w:cs="FrankRuehl"/>
          <w:rtl/>
        </w:rPr>
        <w:t>–</w:t>
      </w:r>
      <w:r>
        <w:rPr>
          <w:rFonts w:cs="FrankRuehl" w:hint="cs"/>
          <w:rtl/>
        </w:rPr>
        <w:t xml:space="preserve"> תק' תשע"ג-2012; 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841F"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AED9F4F"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0571E3"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0CA2" w14:textId="77777777" w:rsidR="00DF712A" w:rsidRDefault="00B22707" w:rsidP="00D81CB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81CBF">
      <w:rPr>
        <w:rFonts w:hAnsi="FrankRuehl" w:cs="FrankRuehl" w:hint="cs"/>
        <w:color w:val="000000"/>
        <w:sz w:val="28"/>
        <w:szCs w:val="28"/>
        <w:rtl/>
      </w:rPr>
      <w:t>שוויון הזדמנויות בעבודה (תקופת כהונה וסדרי עבודה של הוועדה המייעצת</w:t>
    </w:r>
    <w:r w:rsidR="00083670">
      <w:rPr>
        <w:rFonts w:hAnsi="FrankRuehl" w:cs="FrankRuehl" w:hint="cs"/>
        <w:color w:val="000000"/>
        <w:sz w:val="28"/>
        <w:szCs w:val="28"/>
        <w:rtl/>
      </w:rPr>
      <w:t>)</w:t>
    </w:r>
    <w:r w:rsidR="00DF712A">
      <w:rPr>
        <w:rFonts w:hAnsi="FrankRuehl" w:cs="FrankRuehl" w:hint="cs"/>
        <w:color w:val="000000"/>
        <w:sz w:val="28"/>
        <w:szCs w:val="28"/>
        <w:rtl/>
      </w:rPr>
      <w:t>, תשס"ט-2009</w:t>
    </w:r>
  </w:p>
  <w:p w14:paraId="0FBB68D6"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B1A63F"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5168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19D9"/>
    <w:rsid w:val="00062C31"/>
    <w:rsid w:val="00064468"/>
    <w:rsid w:val="00064C99"/>
    <w:rsid w:val="00071C0C"/>
    <w:rsid w:val="00083670"/>
    <w:rsid w:val="000948CA"/>
    <w:rsid w:val="00094DD9"/>
    <w:rsid w:val="000D1348"/>
    <w:rsid w:val="000D6459"/>
    <w:rsid w:val="000D7097"/>
    <w:rsid w:val="000D7FBE"/>
    <w:rsid w:val="000E4FDD"/>
    <w:rsid w:val="000E6E54"/>
    <w:rsid w:val="0010753D"/>
    <w:rsid w:val="00112119"/>
    <w:rsid w:val="00122C2E"/>
    <w:rsid w:val="001275F0"/>
    <w:rsid w:val="00140531"/>
    <w:rsid w:val="001615C2"/>
    <w:rsid w:val="00177393"/>
    <w:rsid w:val="00186445"/>
    <w:rsid w:val="001C4AB6"/>
    <w:rsid w:val="001E0FA8"/>
    <w:rsid w:val="002105ED"/>
    <w:rsid w:val="002216B6"/>
    <w:rsid w:val="00222BE5"/>
    <w:rsid w:val="00244A9D"/>
    <w:rsid w:val="002538D4"/>
    <w:rsid w:val="00273A1A"/>
    <w:rsid w:val="00273C7A"/>
    <w:rsid w:val="00275506"/>
    <w:rsid w:val="002908AB"/>
    <w:rsid w:val="002C7187"/>
    <w:rsid w:val="002E3E60"/>
    <w:rsid w:val="002F76E8"/>
    <w:rsid w:val="0033109A"/>
    <w:rsid w:val="00333313"/>
    <w:rsid w:val="0033559B"/>
    <w:rsid w:val="00342C78"/>
    <w:rsid w:val="003528CA"/>
    <w:rsid w:val="00373ACB"/>
    <w:rsid w:val="0037705A"/>
    <w:rsid w:val="003A23D8"/>
    <w:rsid w:val="003A7D6E"/>
    <w:rsid w:val="003B4C6D"/>
    <w:rsid w:val="003C62F8"/>
    <w:rsid w:val="003D5BB0"/>
    <w:rsid w:val="003E10E3"/>
    <w:rsid w:val="003E17A4"/>
    <w:rsid w:val="003E74D6"/>
    <w:rsid w:val="003F5C71"/>
    <w:rsid w:val="003F7813"/>
    <w:rsid w:val="0040021A"/>
    <w:rsid w:val="004112F3"/>
    <w:rsid w:val="004120DC"/>
    <w:rsid w:val="0041737A"/>
    <w:rsid w:val="00431CAA"/>
    <w:rsid w:val="00434AF8"/>
    <w:rsid w:val="004355B4"/>
    <w:rsid w:val="0044263A"/>
    <w:rsid w:val="00445514"/>
    <w:rsid w:val="004555FD"/>
    <w:rsid w:val="00460500"/>
    <w:rsid w:val="0047103A"/>
    <w:rsid w:val="00475BF0"/>
    <w:rsid w:val="00484974"/>
    <w:rsid w:val="00490D4B"/>
    <w:rsid w:val="0049129C"/>
    <w:rsid w:val="004C3C1F"/>
    <w:rsid w:val="004C4E16"/>
    <w:rsid w:val="004F31AA"/>
    <w:rsid w:val="004F32A4"/>
    <w:rsid w:val="004F512C"/>
    <w:rsid w:val="005416A0"/>
    <w:rsid w:val="0054548D"/>
    <w:rsid w:val="00553571"/>
    <w:rsid w:val="005607E7"/>
    <w:rsid w:val="00574BC7"/>
    <w:rsid w:val="00581F51"/>
    <w:rsid w:val="00581F7F"/>
    <w:rsid w:val="005A4835"/>
    <w:rsid w:val="005A79B9"/>
    <w:rsid w:val="005B1619"/>
    <w:rsid w:val="005C13E4"/>
    <w:rsid w:val="005C17DB"/>
    <w:rsid w:val="005C6342"/>
    <w:rsid w:val="005E00B5"/>
    <w:rsid w:val="005E3B35"/>
    <w:rsid w:val="005E67B1"/>
    <w:rsid w:val="005E7167"/>
    <w:rsid w:val="006054F3"/>
    <w:rsid w:val="00614CD9"/>
    <w:rsid w:val="00635CB5"/>
    <w:rsid w:val="00640B97"/>
    <w:rsid w:val="00642120"/>
    <w:rsid w:val="00642880"/>
    <w:rsid w:val="00672071"/>
    <w:rsid w:val="00677514"/>
    <w:rsid w:val="006849D8"/>
    <w:rsid w:val="00687666"/>
    <w:rsid w:val="006A6364"/>
    <w:rsid w:val="006A6733"/>
    <w:rsid w:val="006B5390"/>
    <w:rsid w:val="00700FF2"/>
    <w:rsid w:val="00716DEE"/>
    <w:rsid w:val="00720039"/>
    <w:rsid w:val="00724AD6"/>
    <w:rsid w:val="00726659"/>
    <w:rsid w:val="00752BF0"/>
    <w:rsid w:val="0076254E"/>
    <w:rsid w:val="00765B73"/>
    <w:rsid w:val="00766E73"/>
    <w:rsid w:val="00772CD8"/>
    <w:rsid w:val="0078071F"/>
    <w:rsid w:val="00785BE6"/>
    <w:rsid w:val="00790D9E"/>
    <w:rsid w:val="007A1FF2"/>
    <w:rsid w:val="007A3993"/>
    <w:rsid w:val="007B6045"/>
    <w:rsid w:val="007C0B21"/>
    <w:rsid w:val="007C57AA"/>
    <w:rsid w:val="007D73DF"/>
    <w:rsid w:val="007F50EB"/>
    <w:rsid w:val="007F6C78"/>
    <w:rsid w:val="008159FF"/>
    <w:rsid w:val="00852A6C"/>
    <w:rsid w:val="0085655A"/>
    <w:rsid w:val="0086107A"/>
    <w:rsid w:val="0087771D"/>
    <w:rsid w:val="0089792E"/>
    <w:rsid w:val="008A2722"/>
    <w:rsid w:val="008A638E"/>
    <w:rsid w:val="008C2526"/>
    <w:rsid w:val="008D03EF"/>
    <w:rsid w:val="008D1BB1"/>
    <w:rsid w:val="008E1E96"/>
    <w:rsid w:val="008E367E"/>
    <w:rsid w:val="008E73A8"/>
    <w:rsid w:val="00904EEA"/>
    <w:rsid w:val="00906581"/>
    <w:rsid w:val="00923E55"/>
    <w:rsid w:val="00927A15"/>
    <w:rsid w:val="00934563"/>
    <w:rsid w:val="00947DE7"/>
    <w:rsid w:val="00955AC8"/>
    <w:rsid w:val="009572D1"/>
    <w:rsid w:val="009C2916"/>
    <w:rsid w:val="009E2AAC"/>
    <w:rsid w:val="009E7FC2"/>
    <w:rsid w:val="00A0666F"/>
    <w:rsid w:val="00A10AE2"/>
    <w:rsid w:val="00A141C3"/>
    <w:rsid w:val="00A14F70"/>
    <w:rsid w:val="00A308E0"/>
    <w:rsid w:val="00A42C95"/>
    <w:rsid w:val="00A66F20"/>
    <w:rsid w:val="00A71DAC"/>
    <w:rsid w:val="00A9239A"/>
    <w:rsid w:val="00AB7FCA"/>
    <w:rsid w:val="00AC7B1B"/>
    <w:rsid w:val="00AE4A4F"/>
    <w:rsid w:val="00AE5CC9"/>
    <w:rsid w:val="00AF36BF"/>
    <w:rsid w:val="00B005C1"/>
    <w:rsid w:val="00B065AE"/>
    <w:rsid w:val="00B12F53"/>
    <w:rsid w:val="00B17AF7"/>
    <w:rsid w:val="00B218F8"/>
    <w:rsid w:val="00B22707"/>
    <w:rsid w:val="00B2273B"/>
    <w:rsid w:val="00B4509A"/>
    <w:rsid w:val="00B62BCF"/>
    <w:rsid w:val="00B8400A"/>
    <w:rsid w:val="00B84C6D"/>
    <w:rsid w:val="00B870A0"/>
    <w:rsid w:val="00B87DA4"/>
    <w:rsid w:val="00B9541A"/>
    <w:rsid w:val="00BD1625"/>
    <w:rsid w:val="00BE03B7"/>
    <w:rsid w:val="00BE37D5"/>
    <w:rsid w:val="00BF580C"/>
    <w:rsid w:val="00C0712A"/>
    <w:rsid w:val="00C07231"/>
    <w:rsid w:val="00C17A30"/>
    <w:rsid w:val="00C33F16"/>
    <w:rsid w:val="00C34AA6"/>
    <w:rsid w:val="00C53230"/>
    <w:rsid w:val="00C6067A"/>
    <w:rsid w:val="00C67653"/>
    <w:rsid w:val="00C90BBE"/>
    <w:rsid w:val="00C9259B"/>
    <w:rsid w:val="00CA174A"/>
    <w:rsid w:val="00CC0020"/>
    <w:rsid w:val="00CC2E3C"/>
    <w:rsid w:val="00CC7FEC"/>
    <w:rsid w:val="00CD6719"/>
    <w:rsid w:val="00D10BBD"/>
    <w:rsid w:val="00D21193"/>
    <w:rsid w:val="00D22FCB"/>
    <w:rsid w:val="00D2420C"/>
    <w:rsid w:val="00D25D5C"/>
    <w:rsid w:val="00D26AA4"/>
    <w:rsid w:val="00D32120"/>
    <w:rsid w:val="00D3243E"/>
    <w:rsid w:val="00D33D4D"/>
    <w:rsid w:val="00D4088D"/>
    <w:rsid w:val="00D46B5A"/>
    <w:rsid w:val="00D50C5F"/>
    <w:rsid w:val="00D5121D"/>
    <w:rsid w:val="00D55EBB"/>
    <w:rsid w:val="00D5641C"/>
    <w:rsid w:val="00D714B8"/>
    <w:rsid w:val="00D81CBF"/>
    <w:rsid w:val="00D909F6"/>
    <w:rsid w:val="00D942B5"/>
    <w:rsid w:val="00DB4F1B"/>
    <w:rsid w:val="00DD6D56"/>
    <w:rsid w:val="00DE6719"/>
    <w:rsid w:val="00DF0DDC"/>
    <w:rsid w:val="00DF1462"/>
    <w:rsid w:val="00DF2216"/>
    <w:rsid w:val="00DF712A"/>
    <w:rsid w:val="00E015CC"/>
    <w:rsid w:val="00E44F20"/>
    <w:rsid w:val="00E61DBD"/>
    <w:rsid w:val="00E7431C"/>
    <w:rsid w:val="00E86B60"/>
    <w:rsid w:val="00E93633"/>
    <w:rsid w:val="00E9389D"/>
    <w:rsid w:val="00E967BF"/>
    <w:rsid w:val="00EB2FD0"/>
    <w:rsid w:val="00EC16B8"/>
    <w:rsid w:val="00EC18C0"/>
    <w:rsid w:val="00ED2D71"/>
    <w:rsid w:val="00ED50FD"/>
    <w:rsid w:val="00EE528E"/>
    <w:rsid w:val="00EE70B6"/>
    <w:rsid w:val="00EF1C64"/>
    <w:rsid w:val="00F17CC0"/>
    <w:rsid w:val="00F25D03"/>
    <w:rsid w:val="00F45347"/>
    <w:rsid w:val="00F5209D"/>
    <w:rsid w:val="00F60E6E"/>
    <w:rsid w:val="00F6207C"/>
    <w:rsid w:val="00F651D4"/>
    <w:rsid w:val="00F67F6D"/>
    <w:rsid w:val="00F732C8"/>
    <w:rsid w:val="00F810E4"/>
    <w:rsid w:val="00F8576B"/>
    <w:rsid w:val="00F87D85"/>
    <w:rsid w:val="00F94DC6"/>
    <w:rsid w:val="00F97644"/>
    <w:rsid w:val="00FA1FFE"/>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DFB387"/>
  <w15:chartTrackingRefBased/>
  <w15:docId w15:val="{9D86A7FE-8BE3-4162-9214-8C776CF4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178.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78.pdf" TargetMode="External"/><Relationship Id="rId1" Type="http://schemas.openxmlformats.org/officeDocument/2006/relationships/hyperlink" Target="http://www.nevo.co.il/Law_word/law06/tak-68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3373</CharactersWithSpaces>
  <SharedDoc>false</SharedDoc>
  <HLinks>
    <vt:vector size="96" baseType="variant">
      <vt:variant>
        <vt:i4>393283</vt:i4>
      </vt:variant>
      <vt:variant>
        <vt:i4>72</vt:i4>
      </vt:variant>
      <vt:variant>
        <vt:i4>0</vt:i4>
      </vt:variant>
      <vt:variant>
        <vt:i4>5</vt:i4>
      </vt:variant>
      <vt:variant>
        <vt:lpwstr>http://www.nevo.co.il/advertisements/nevo-100.doc</vt:lpwstr>
      </vt:variant>
      <vt:variant>
        <vt:lpwstr/>
      </vt:variant>
      <vt:variant>
        <vt:i4>393283</vt:i4>
      </vt:variant>
      <vt:variant>
        <vt:i4>69</vt:i4>
      </vt:variant>
      <vt:variant>
        <vt:i4>0</vt:i4>
      </vt:variant>
      <vt:variant>
        <vt:i4>5</vt:i4>
      </vt:variant>
      <vt:variant>
        <vt:lpwstr>http://www.nevo.co.il/advertisements/nevo-100.doc</vt:lpwstr>
      </vt:variant>
      <vt:variant>
        <vt:lpwstr/>
      </vt:variant>
      <vt:variant>
        <vt:i4>7929857</vt:i4>
      </vt:variant>
      <vt:variant>
        <vt:i4>66</vt:i4>
      </vt:variant>
      <vt:variant>
        <vt:i4>0</vt:i4>
      </vt:variant>
      <vt:variant>
        <vt:i4>5</vt:i4>
      </vt:variant>
      <vt:variant>
        <vt:lpwstr>http://www.nevo.co.il/Law_word/law06/tak-7178.pdf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7929857</vt:i4>
      </vt:variant>
      <vt:variant>
        <vt:i4>3</vt:i4>
      </vt:variant>
      <vt:variant>
        <vt:i4>0</vt:i4>
      </vt:variant>
      <vt:variant>
        <vt:i4>5</vt:i4>
      </vt:variant>
      <vt:variant>
        <vt:lpwstr>http://www.nevo.co.il/Law_word/law06/TAK-7178.pdf</vt:lpwstr>
      </vt:variant>
      <vt:variant>
        <vt:lpwstr/>
      </vt:variant>
      <vt:variant>
        <vt:i4>8257540</vt:i4>
      </vt:variant>
      <vt:variant>
        <vt:i4>0</vt:i4>
      </vt:variant>
      <vt:variant>
        <vt:i4>0</vt:i4>
      </vt:variant>
      <vt:variant>
        <vt:i4>5</vt:i4>
      </vt:variant>
      <vt:variant>
        <vt:lpwstr>http://www.nevo.co.il/Law_word/law06/tak-6814.pdf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שוויון הזדמנויות בעבודה (תקופת כהונה וסדרי עבודה של הוועדה המייעצת), תשס"ט-2009</vt:lpwstr>
  </property>
  <property fmtid="{D5CDD505-2E9C-101B-9397-08002B2CF9AE}" pid="4" name="LAWNUMBER">
    <vt:lpwstr>0208</vt:lpwstr>
  </property>
  <property fmtid="{D5CDD505-2E9C-101B-9397-08002B2CF9AE}" pid="5" name="TYPE">
    <vt:lpwstr>01</vt:lpwstr>
  </property>
  <property fmtid="{D5CDD505-2E9C-101B-9397-08002B2CF9AE}" pid="6" name="CHNAME">
    <vt:lpwstr>עבודה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http://www.nevo.co.il/Law_word/law06/TAK-7178.pdf;רשומות - תקנות כלליות#תוקנו ק"ת תשע"ג מס' 7178 #מיום 11.11.2012 עמ' 162 – תק' תשע"ג-2012; ר' תקנה 2 לענין תחולה</vt:lpwstr>
  </property>
  <property fmtid="{D5CDD505-2E9C-101B-9397-08002B2CF9AE}" pid="23" name="LINKK1">
    <vt:lpwstr>http://www.nevo.co.il/Law_word/law06/tak-6814.pdf;‎רשומות - תקנות כלליות#פורסמו ק"ת תשס"ט מס' ‏‏6814 #מיום 17.9.2009 עמ' 1357‏</vt:lpwstr>
  </property>
  <property fmtid="{D5CDD505-2E9C-101B-9397-08002B2CF9AE}" pid="24" name="MEKOR_NAME1">
    <vt:lpwstr>חוק שוויון הזדמנויות בעבודה</vt:lpwstr>
  </property>
  <property fmtid="{D5CDD505-2E9C-101B-9397-08002B2CF9AE}" pid="25" name="MEKOR_SAIF1">
    <vt:lpwstr>18זXהX</vt:lpwstr>
  </property>
  <property fmtid="{D5CDD505-2E9C-101B-9397-08002B2CF9AE}" pid="26" name="NOSE11">
    <vt:lpwstr>דיני חוקה </vt:lpwstr>
  </property>
  <property fmtid="{D5CDD505-2E9C-101B-9397-08002B2CF9AE}" pid="27" name="NOSE21">
    <vt:lpwstr>שוויון</vt:lpwstr>
  </property>
  <property fmtid="{D5CDD505-2E9C-101B-9397-08002B2CF9AE}" pid="28" name="NOSE31">
    <vt:lpwstr>הזדמנויות בעבודה</vt:lpwstr>
  </property>
  <property fmtid="{D5CDD505-2E9C-101B-9397-08002B2CF9AE}" pid="29" name="NOSE41">
    <vt:lpwstr/>
  </property>
  <property fmtid="{D5CDD505-2E9C-101B-9397-08002B2CF9AE}" pid="30" name="NOSE12">
    <vt:lpwstr>עבודה</vt:lpwstr>
  </property>
  <property fmtid="{D5CDD505-2E9C-101B-9397-08002B2CF9AE}" pid="31" name="NOSE22">
    <vt:lpwstr>שוויון בעבודה</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