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B05B8" w:rsidP="00E813C5">
      <w:pPr>
        <w:pStyle w:val="big-header"/>
        <w:ind w:left="0" w:right="1134"/>
        <w:rPr>
          <w:rFonts w:hint="cs"/>
          <w:rtl/>
        </w:rPr>
      </w:pPr>
      <w:r>
        <w:rPr>
          <w:rFonts w:hint="cs"/>
          <w:rtl/>
        </w:rPr>
        <w:t xml:space="preserve">תקנות שוויון זכויות לאנשים עם מוגבלות (התאמות נגישות </w:t>
      </w:r>
      <w:r w:rsidR="00E813C5">
        <w:rPr>
          <w:rFonts w:hint="cs"/>
          <w:rtl/>
        </w:rPr>
        <w:t>למקומות ציבוריים קיימים שהם מוסדות להשכלה גבוהה ולשירותי השכלה גבוהה שהם נותנים</w:t>
      </w:r>
      <w:r w:rsidR="00262C30">
        <w:rPr>
          <w:rFonts w:hint="cs"/>
          <w:rtl/>
        </w:rPr>
        <w:t>), תשע"</w:t>
      </w:r>
      <w:r w:rsidR="00E813C5">
        <w:rPr>
          <w:rFonts w:hint="cs"/>
          <w:rtl/>
        </w:rPr>
        <w:t>ז</w:t>
      </w:r>
      <w:r w:rsidR="00262C30">
        <w:rPr>
          <w:rFonts w:hint="cs"/>
          <w:rtl/>
        </w:rPr>
        <w:t>-201</w:t>
      </w:r>
      <w:r w:rsidR="004B0984">
        <w:rPr>
          <w:rFonts w:hint="cs"/>
          <w:rtl/>
        </w:rPr>
        <w:t>6</w:t>
      </w:r>
    </w:p>
    <w:p w:rsidR="00852F42" w:rsidRPr="00852F42" w:rsidRDefault="00852F42" w:rsidP="00852F42">
      <w:pPr>
        <w:spacing w:line="320" w:lineRule="auto"/>
        <w:jc w:val="left"/>
        <w:rPr>
          <w:rFonts w:cs="FrankRuehl"/>
          <w:szCs w:val="26"/>
          <w:rtl/>
        </w:rPr>
      </w:pPr>
    </w:p>
    <w:p w:rsidR="00852F42" w:rsidRDefault="00852F42" w:rsidP="00852F42">
      <w:pPr>
        <w:spacing w:line="320" w:lineRule="auto"/>
        <w:jc w:val="left"/>
        <w:rPr>
          <w:rtl/>
        </w:rPr>
      </w:pPr>
    </w:p>
    <w:p w:rsidR="00852F42" w:rsidRDefault="00852F42" w:rsidP="00852F42">
      <w:pPr>
        <w:spacing w:line="320" w:lineRule="auto"/>
        <w:jc w:val="left"/>
        <w:rPr>
          <w:rFonts w:cs="Miriam"/>
          <w:szCs w:val="22"/>
          <w:rtl/>
        </w:rPr>
      </w:pPr>
      <w:r w:rsidRPr="00852F42">
        <w:rPr>
          <w:rFonts w:cs="Miriam"/>
          <w:szCs w:val="22"/>
          <w:rtl/>
        </w:rPr>
        <w:t xml:space="preserve">דיני חוקה </w:t>
      </w:r>
      <w:r w:rsidRPr="00852F42">
        <w:rPr>
          <w:rFonts w:cs="FrankRuehl"/>
          <w:szCs w:val="26"/>
          <w:rtl/>
        </w:rPr>
        <w:t xml:space="preserve"> – שוויון – אנשים עם מוגבלויות</w:t>
      </w:r>
    </w:p>
    <w:p w:rsidR="00852F42" w:rsidRPr="00852F42" w:rsidRDefault="00852F42" w:rsidP="00852F42">
      <w:pPr>
        <w:spacing w:line="320" w:lineRule="auto"/>
        <w:jc w:val="left"/>
        <w:rPr>
          <w:rFonts w:cs="Miriam" w:hint="cs"/>
          <w:szCs w:val="22"/>
          <w:rtl/>
        </w:rPr>
      </w:pPr>
      <w:r w:rsidRPr="00852F42">
        <w:rPr>
          <w:rFonts w:cs="Miriam"/>
          <w:szCs w:val="22"/>
          <w:rtl/>
        </w:rPr>
        <w:t>רשויות ומשפט מנהלי</w:t>
      </w:r>
      <w:r w:rsidRPr="00852F42">
        <w:rPr>
          <w:rFonts w:cs="FrankRuehl"/>
          <w:szCs w:val="26"/>
          <w:rtl/>
        </w:rPr>
        <w:t xml:space="preserve"> – חינוך – השכלה גבוהה</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פרק א': כללי</w:t>
            </w:r>
          </w:p>
        </w:tc>
        <w:tc>
          <w:tcPr>
            <w:tcW w:w="567" w:type="dxa"/>
          </w:tcPr>
          <w:p w:rsidR="00DA6334" w:rsidRPr="00DA6334" w:rsidRDefault="00DA6334" w:rsidP="00DA6334">
            <w:pPr>
              <w:spacing w:line="240" w:lineRule="auto"/>
              <w:jc w:val="left"/>
              <w:rPr>
                <w:rStyle w:val="Hyperlink"/>
                <w:rFonts w:hint="cs"/>
                <w:rtl/>
              </w:rPr>
            </w:pPr>
            <w:hyperlink w:anchor="med0" w:tooltip="פרק א: כללי"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הגדרות</w:t>
            </w:r>
          </w:p>
        </w:tc>
        <w:tc>
          <w:tcPr>
            <w:tcW w:w="567" w:type="dxa"/>
          </w:tcPr>
          <w:p w:rsidR="00DA6334" w:rsidRPr="00DA6334" w:rsidRDefault="00DA6334" w:rsidP="00DA6334">
            <w:pPr>
              <w:spacing w:line="240" w:lineRule="auto"/>
              <w:jc w:val="left"/>
              <w:rPr>
                <w:rStyle w:val="Hyperlink"/>
                <w:rFonts w:hint="cs"/>
                <w:rtl/>
              </w:rPr>
            </w:pPr>
            <w:hyperlink w:anchor="Seif1" w:tooltip="הגדר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2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החייב בביצוע התאמות נגישות</w:t>
            </w:r>
          </w:p>
        </w:tc>
        <w:tc>
          <w:tcPr>
            <w:tcW w:w="567" w:type="dxa"/>
          </w:tcPr>
          <w:p w:rsidR="00DA6334" w:rsidRPr="00DA6334" w:rsidRDefault="00DA6334" w:rsidP="00DA6334">
            <w:pPr>
              <w:spacing w:line="240" w:lineRule="auto"/>
              <w:jc w:val="left"/>
              <w:rPr>
                <w:rStyle w:val="Hyperlink"/>
                <w:rFonts w:hint="cs"/>
                <w:rtl/>
              </w:rPr>
            </w:pPr>
            <w:hyperlink w:anchor="Seif2" w:tooltip="החייב בביצוע התאמות נגיש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3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מרכז תמיכה</w:t>
            </w:r>
          </w:p>
        </w:tc>
        <w:tc>
          <w:tcPr>
            <w:tcW w:w="567" w:type="dxa"/>
          </w:tcPr>
          <w:p w:rsidR="00DA6334" w:rsidRPr="00DA6334" w:rsidRDefault="00DA6334" w:rsidP="00DA6334">
            <w:pPr>
              <w:spacing w:line="240" w:lineRule="auto"/>
              <w:jc w:val="left"/>
              <w:rPr>
                <w:rStyle w:val="Hyperlink"/>
                <w:rFonts w:hint="cs"/>
                <w:rtl/>
              </w:rPr>
            </w:pPr>
            <w:hyperlink w:anchor="Seif3" w:tooltip="מרכז תמיכה"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פרק ב': נגישות מבנים, תשתיות וסביבה</w:t>
            </w:r>
          </w:p>
        </w:tc>
        <w:tc>
          <w:tcPr>
            <w:tcW w:w="567" w:type="dxa"/>
          </w:tcPr>
          <w:p w:rsidR="00DA6334" w:rsidRPr="00DA6334" w:rsidRDefault="00DA6334" w:rsidP="00DA6334">
            <w:pPr>
              <w:spacing w:line="240" w:lineRule="auto"/>
              <w:jc w:val="left"/>
              <w:rPr>
                <w:rStyle w:val="Hyperlink"/>
                <w:rFonts w:hint="cs"/>
                <w:rtl/>
              </w:rPr>
            </w:pPr>
            <w:hyperlink w:anchor="med1" w:tooltip="פרק ב: נגישות מבנים, תשתיות וסביבה"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4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תחולת תקנות מקום קיים</w:t>
            </w:r>
          </w:p>
        </w:tc>
        <w:tc>
          <w:tcPr>
            <w:tcW w:w="567" w:type="dxa"/>
          </w:tcPr>
          <w:p w:rsidR="00DA6334" w:rsidRPr="00DA6334" w:rsidRDefault="00DA6334" w:rsidP="00DA6334">
            <w:pPr>
              <w:spacing w:line="240" w:lineRule="auto"/>
              <w:jc w:val="left"/>
              <w:rPr>
                <w:rStyle w:val="Hyperlink"/>
                <w:rFonts w:hint="cs"/>
                <w:rtl/>
              </w:rPr>
            </w:pPr>
            <w:hyperlink w:anchor="Seif4" w:tooltip="תחולת תקנות מקום קיים"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5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תחולת תקנות מקום ציבורי שאינו בניין</w:t>
            </w:r>
          </w:p>
        </w:tc>
        <w:tc>
          <w:tcPr>
            <w:tcW w:w="567" w:type="dxa"/>
          </w:tcPr>
          <w:p w:rsidR="00DA6334" w:rsidRPr="00DA6334" w:rsidRDefault="00DA6334" w:rsidP="00DA6334">
            <w:pPr>
              <w:spacing w:line="240" w:lineRule="auto"/>
              <w:jc w:val="left"/>
              <w:rPr>
                <w:rStyle w:val="Hyperlink"/>
                <w:rFonts w:hint="cs"/>
                <w:rtl/>
              </w:rPr>
            </w:pPr>
            <w:hyperlink w:anchor="Seif5" w:tooltip="תחולת תקנות מקום ציבורי שאינו בניין"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פרק ג': נגישות השירות</w:t>
            </w:r>
          </w:p>
        </w:tc>
        <w:tc>
          <w:tcPr>
            <w:tcW w:w="567" w:type="dxa"/>
          </w:tcPr>
          <w:p w:rsidR="00DA6334" w:rsidRPr="00DA6334" w:rsidRDefault="00DA6334" w:rsidP="00DA6334">
            <w:pPr>
              <w:spacing w:line="240" w:lineRule="auto"/>
              <w:jc w:val="left"/>
              <w:rPr>
                <w:rStyle w:val="Hyperlink"/>
                <w:rFonts w:hint="cs"/>
                <w:rtl/>
              </w:rPr>
            </w:pPr>
            <w:hyperlink w:anchor="med2" w:tooltip="פרק ג: נגישות השיר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6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תחולת תקנות נגישות השירות</w:t>
            </w:r>
          </w:p>
        </w:tc>
        <w:tc>
          <w:tcPr>
            <w:tcW w:w="567" w:type="dxa"/>
          </w:tcPr>
          <w:p w:rsidR="00DA6334" w:rsidRPr="00DA6334" w:rsidRDefault="00DA6334" w:rsidP="00DA6334">
            <w:pPr>
              <w:spacing w:line="240" w:lineRule="auto"/>
              <w:jc w:val="left"/>
              <w:rPr>
                <w:rStyle w:val="Hyperlink"/>
                <w:rFonts w:hint="cs"/>
                <w:rtl/>
              </w:rPr>
            </w:pPr>
            <w:hyperlink w:anchor="Seif6" w:tooltip="תחולת תקנות נגישות השיר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7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אקוסטיקה והתאמות</w:t>
            </w:r>
          </w:p>
        </w:tc>
        <w:tc>
          <w:tcPr>
            <w:tcW w:w="567" w:type="dxa"/>
          </w:tcPr>
          <w:p w:rsidR="00DA6334" w:rsidRPr="00DA6334" w:rsidRDefault="00DA6334" w:rsidP="00DA6334">
            <w:pPr>
              <w:spacing w:line="240" w:lineRule="auto"/>
              <w:jc w:val="left"/>
              <w:rPr>
                <w:rStyle w:val="Hyperlink"/>
                <w:rFonts w:hint="cs"/>
                <w:rtl/>
              </w:rPr>
            </w:pPr>
            <w:hyperlink w:anchor="Seif7" w:tooltip="אקוסטיקה והתאמ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8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מקומות ישיבה במקומות הלימוד</w:t>
            </w:r>
          </w:p>
        </w:tc>
        <w:tc>
          <w:tcPr>
            <w:tcW w:w="567" w:type="dxa"/>
          </w:tcPr>
          <w:p w:rsidR="00DA6334" w:rsidRPr="00DA6334" w:rsidRDefault="00DA6334" w:rsidP="00DA6334">
            <w:pPr>
              <w:spacing w:line="240" w:lineRule="auto"/>
              <w:jc w:val="left"/>
              <w:rPr>
                <w:rStyle w:val="Hyperlink"/>
                <w:rFonts w:hint="cs"/>
                <w:rtl/>
              </w:rPr>
            </w:pPr>
            <w:hyperlink w:anchor="Seif8" w:tooltip="מקומות ישיבה במקומות הלימוד"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9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מדשאות</w:t>
            </w:r>
          </w:p>
        </w:tc>
        <w:tc>
          <w:tcPr>
            <w:tcW w:w="567" w:type="dxa"/>
          </w:tcPr>
          <w:p w:rsidR="00DA6334" w:rsidRPr="00DA6334" w:rsidRDefault="00DA6334" w:rsidP="00DA6334">
            <w:pPr>
              <w:spacing w:line="240" w:lineRule="auto"/>
              <w:jc w:val="left"/>
              <w:rPr>
                <w:rStyle w:val="Hyperlink"/>
                <w:rFonts w:hint="cs"/>
                <w:rtl/>
              </w:rPr>
            </w:pPr>
            <w:hyperlink w:anchor="Seif9" w:tooltip="מדשא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10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סיורים</w:t>
            </w:r>
          </w:p>
        </w:tc>
        <w:tc>
          <w:tcPr>
            <w:tcW w:w="567" w:type="dxa"/>
          </w:tcPr>
          <w:p w:rsidR="00DA6334" w:rsidRPr="00DA6334" w:rsidRDefault="00DA6334" w:rsidP="00DA6334">
            <w:pPr>
              <w:spacing w:line="240" w:lineRule="auto"/>
              <w:jc w:val="left"/>
              <w:rPr>
                <w:rStyle w:val="Hyperlink"/>
                <w:rFonts w:hint="cs"/>
                <w:rtl/>
              </w:rPr>
            </w:pPr>
            <w:hyperlink w:anchor="Seif10" w:tooltip="סיורים"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פרק ד': התאמות נגישות אישיות</w:t>
            </w:r>
          </w:p>
        </w:tc>
        <w:tc>
          <w:tcPr>
            <w:tcW w:w="567" w:type="dxa"/>
          </w:tcPr>
          <w:p w:rsidR="00DA6334" w:rsidRPr="00DA6334" w:rsidRDefault="00DA6334" w:rsidP="00DA6334">
            <w:pPr>
              <w:spacing w:line="240" w:lineRule="auto"/>
              <w:jc w:val="left"/>
              <w:rPr>
                <w:rStyle w:val="Hyperlink"/>
                <w:rFonts w:hint="cs"/>
                <w:rtl/>
              </w:rPr>
            </w:pPr>
            <w:hyperlink w:anchor="med3" w:tooltip="פרק ד: התאמות נגישות אישי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11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אחראי לקביעת התאמות</w:t>
            </w:r>
          </w:p>
        </w:tc>
        <w:tc>
          <w:tcPr>
            <w:tcW w:w="567" w:type="dxa"/>
          </w:tcPr>
          <w:p w:rsidR="00DA6334" w:rsidRPr="00DA6334" w:rsidRDefault="00DA6334" w:rsidP="00DA6334">
            <w:pPr>
              <w:spacing w:line="240" w:lineRule="auto"/>
              <w:jc w:val="left"/>
              <w:rPr>
                <w:rStyle w:val="Hyperlink"/>
                <w:rFonts w:hint="cs"/>
                <w:rtl/>
              </w:rPr>
            </w:pPr>
            <w:hyperlink w:anchor="Seif11" w:tooltip="אחראי לקביעת התאמ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12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קביעת התאמות נגישות אישיות</w:t>
            </w:r>
          </w:p>
        </w:tc>
        <w:tc>
          <w:tcPr>
            <w:tcW w:w="567" w:type="dxa"/>
          </w:tcPr>
          <w:p w:rsidR="00DA6334" w:rsidRPr="00DA6334" w:rsidRDefault="00DA6334" w:rsidP="00DA6334">
            <w:pPr>
              <w:spacing w:line="240" w:lineRule="auto"/>
              <w:jc w:val="left"/>
              <w:rPr>
                <w:rStyle w:val="Hyperlink"/>
                <w:rFonts w:hint="cs"/>
                <w:rtl/>
              </w:rPr>
            </w:pPr>
            <w:hyperlink w:anchor="Seif12" w:tooltip="קביעת התאמות נגישות אישי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13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ערר</w:t>
            </w:r>
          </w:p>
        </w:tc>
        <w:tc>
          <w:tcPr>
            <w:tcW w:w="567" w:type="dxa"/>
          </w:tcPr>
          <w:p w:rsidR="00DA6334" w:rsidRPr="00DA6334" w:rsidRDefault="00DA6334" w:rsidP="00DA6334">
            <w:pPr>
              <w:spacing w:line="240" w:lineRule="auto"/>
              <w:jc w:val="left"/>
              <w:rPr>
                <w:rStyle w:val="Hyperlink"/>
                <w:rFonts w:hint="cs"/>
                <w:rtl/>
              </w:rPr>
            </w:pPr>
            <w:hyperlink w:anchor="Seif13" w:tooltip="ערר"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פרק ז': שונות</w:t>
            </w:r>
          </w:p>
        </w:tc>
        <w:tc>
          <w:tcPr>
            <w:tcW w:w="567" w:type="dxa"/>
          </w:tcPr>
          <w:p w:rsidR="00DA6334" w:rsidRPr="00DA6334" w:rsidRDefault="00DA6334" w:rsidP="00DA6334">
            <w:pPr>
              <w:spacing w:line="240" w:lineRule="auto"/>
              <w:jc w:val="left"/>
              <w:rPr>
                <w:rStyle w:val="Hyperlink"/>
                <w:rFonts w:hint="cs"/>
                <w:rtl/>
              </w:rPr>
            </w:pPr>
            <w:hyperlink w:anchor="med4" w:tooltip="פרק ז: שונ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14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סודיות</w:t>
            </w:r>
          </w:p>
        </w:tc>
        <w:tc>
          <w:tcPr>
            <w:tcW w:w="567" w:type="dxa"/>
          </w:tcPr>
          <w:p w:rsidR="00DA6334" w:rsidRPr="00DA6334" w:rsidRDefault="00DA6334" w:rsidP="00DA6334">
            <w:pPr>
              <w:spacing w:line="240" w:lineRule="auto"/>
              <w:jc w:val="left"/>
              <w:rPr>
                <w:rStyle w:val="Hyperlink"/>
                <w:rFonts w:hint="cs"/>
                <w:rtl/>
              </w:rPr>
            </w:pPr>
            <w:hyperlink w:anchor="Seif14" w:tooltip="סודי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15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שמירת הוראות</w:t>
            </w:r>
          </w:p>
        </w:tc>
        <w:tc>
          <w:tcPr>
            <w:tcW w:w="567" w:type="dxa"/>
          </w:tcPr>
          <w:p w:rsidR="00DA6334" w:rsidRPr="00DA6334" w:rsidRDefault="00DA6334" w:rsidP="00DA6334">
            <w:pPr>
              <w:spacing w:line="240" w:lineRule="auto"/>
              <w:jc w:val="left"/>
              <w:rPr>
                <w:rStyle w:val="Hyperlink"/>
                <w:rFonts w:hint="cs"/>
                <w:rtl/>
              </w:rPr>
            </w:pPr>
            <w:hyperlink w:anchor="Seif15" w:tooltip="שמירת הוראות"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A6334" w:rsidRPr="00DA6334" w:rsidTr="00DA6334">
        <w:tblPrEx>
          <w:tblCellMar>
            <w:top w:w="0" w:type="dxa"/>
            <w:bottom w:w="0" w:type="dxa"/>
          </w:tblCellMar>
        </w:tblPrEx>
        <w:tc>
          <w:tcPr>
            <w:tcW w:w="1247" w:type="dxa"/>
          </w:tcPr>
          <w:p w:rsidR="00DA6334" w:rsidRPr="00DA6334" w:rsidRDefault="00DA6334" w:rsidP="00DA6334">
            <w:pPr>
              <w:spacing w:line="240" w:lineRule="auto"/>
              <w:jc w:val="left"/>
              <w:rPr>
                <w:rFonts w:cs="Frankruhel" w:hint="cs"/>
                <w:sz w:val="24"/>
                <w:rtl/>
              </w:rPr>
            </w:pPr>
            <w:r>
              <w:rPr>
                <w:rFonts w:cs="Times New Roman"/>
                <w:sz w:val="24"/>
                <w:rtl/>
              </w:rPr>
              <w:t xml:space="preserve">סעיף 16 </w:t>
            </w:r>
          </w:p>
        </w:tc>
        <w:tc>
          <w:tcPr>
            <w:tcW w:w="5669" w:type="dxa"/>
          </w:tcPr>
          <w:p w:rsidR="00DA6334" w:rsidRPr="00DA6334" w:rsidRDefault="00DA6334" w:rsidP="00DA6334">
            <w:pPr>
              <w:spacing w:line="240" w:lineRule="auto"/>
              <w:jc w:val="left"/>
              <w:rPr>
                <w:rFonts w:cs="Frankruhel" w:hint="cs"/>
                <w:sz w:val="24"/>
                <w:rtl/>
              </w:rPr>
            </w:pPr>
            <w:r>
              <w:rPr>
                <w:rFonts w:cs="Times New Roman"/>
                <w:sz w:val="24"/>
                <w:rtl/>
              </w:rPr>
              <w:t>החלה</w:t>
            </w:r>
          </w:p>
        </w:tc>
        <w:tc>
          <w:tcPr>
            <w:tcW w:w="567" w:type="dxa"/>
          </w:tcPr>
          <w:p w:rsidR="00DA6334" w:rsidRPr="00DA6334" w:rsidRDefault="00DA6334" w:rsidP="00DA6334">
            <w:pPr>
              <w:spacing w:line="240" w:lineRule="auto"/>
              <w:jc w:val="left"/>
              <w:rPr>
                <w:rStyle w:val="Hyperlink"/>
                <w:rFonts w:hint="cs"/>
                <w:rtl/>
              </w:rPr>
            </w:pPr>
            <w:hyperlink w:anchor="Seif16" w:tooltip="החלה" w:history="1">
              <w:r w:rsidRPr="00DA6334">
                <w:rPr>
                  <w:rStyle w:val="Hyperlink"/>
                </w:rPr>
                <w:t>Go</w:t>
              </w:r>
            </w:hyperlink>
          </w:p>
        </w:tc>
        <w:tc>
          <w:tcPr>
            <w:tcW w:w="850" w:type="dxa"/>
          </w:tcPr>
          <w:p w:rsidR="00DA6334" w:rsidRPr="00DA6334" w:rsidRDefault="00DA6334" w:rsidP="00DA633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E813C5">
      <w:pPr>
        <w:pStyle w:val="big-header"/>
        <w:ind w:left="0" w:right="1134"/>
        <w:rPr>
          <w:rStyle w:val="default"/>
          <w:rFonts w:hint="cs"/>
          <w:sz w:val="22"/>
          <w:szCs w:val="22"/>
          <w:rtl/>
        </w:rPr>
      </w:pPr>
      <w:r>
        <w:rPr>
          <w:rtl/>
        </w:rPr>
        <w:br w:type="page"/>
      </w:r>
      <w:r w:rsidR="005B05B8">
        <w:rPr>
          <w:rFonts w:hint="cs"/>
          <w:rtl/>
        </w:rPr>
        <w:lastRenderedPageBreak/>
        <w:t>תקנות שוויון זכויות לאנשים עם מוגבלות (</w:t>
      </w:r>
      <w:r w:rsidR="00E813C5">
        <w:rPr>
          <w:rFonts w:hint="cs"/>
          <w:rtl/>
        </w:rPr>
        <w:t>התאמות נגישות למקומות ציבוריים קיימים שהם מוסדות להשכלה גבוהה ולשירותי השכלה גבוהה שהם נותנים), תשע"ז-2016</w:t>
      </w:r>
      <w:r>
        <w:rPr>
          <w:rStyle w:val="default"/>
          <w:sz w:val="22"/>
          <w:szCs w:val="22"/>
          <w:rtl/>
        </w:rPr>
        <w:footnoteReference w:customMarkFollows="1" w:id="1"/>
        <w:t>*</w:t>
      </w:r>
    </w:p>
    <w:p w:rsidR="001153D7" w:rsidRDefault="001153D7" w:rsidP="00852F4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262C30">
        <w:rPr>
          <w:rStyle w:val="default"/>
          <w:rFonts w:cs="FrankRuehl" w:hint="cs"/>
          <w:rtl/>
        </w:rPr>
        <w:t xml:space="preserve">סמכותי לפי סעיפים </w:t>
      </w:r>
      <w:r w:rsidR="00E813C5">
        <w:rPr>
          <w:rStyle w:val="default"/>
          <w:rFonts w:cs="FrankRuehl" w:hint="cs"/>
          <w:rtl/>
        </w:rPr>
        <w:t>19כט ו-19לא1</w:t>
      </w:r>
      <w:r w:rsidR="005B05B8">
        <w:rPr>
          <w:rStyle w:val="default"/>
          <w:rFonts w:cs="FrankRuehl" w:hint="cs"/>
          <w:rtl/>
        </w:rPr>
        <w:t xml:space="preserve"> לחוק שוויון זכויות לאנשים עם מוגבלות, התשנ"ח-1998 (להלן </w:t>
      </w:r>
      <w:r w:rsidR="005B05B8">
        <w:rPr>
          <w:rStyle w:val="default"/>
          <w:rFonts w:cs="FrankRuehl"/>
          <w:rtl/>
        </w:rPr>
        <w:t>–</w:t>
      </w:r>
      <w:r w:rsidR="005B05B8">
        <w:rPr>
          <w:rStyle w:val="default"/>
          <w:rFonts w:cs="FrankRuehl" w:hint="cs"/>
          <w:rtl/>
        </w:rPr>
        <w:t xml:space="preserve"> החוק), </w:t>
      </w:r>
      <w:r w:rsidR="00E813C5">
        <w:rPr>
          <w:rStyle w:val="default"/>
          <w:rFonts w:cs="FrankRuehl" w:hint="cs"/>
          <w:rtl/>
        </w:rPr>
        <w:t xml:space="preserve">ולאחר </w:t>
      </w:r>
      <w:r w:rsidR="005B05B8">
        <w:rPr>
          <w:rStyle w:val="default"/>
          <w:rFonts w:cs="FrankRuehl" w:hint="cs"/>
          <w:rtl/>
        </w:rPr>
        <w:t xml:space="preserve">התייעצות </w:t>
      </w:r>
      <w:r w:rsidR="00E813C5">
        <w:rPr>
          <w:rStyle w:val="default"/>
          <w:rFonts w:cs="FrankRuehl" w:hint="cs"/>
          <w:rtl/>
        </w:rPr>
        <w:t>עם המועצה להשכלה גבוהה</w:t>
      </w:r>
      <w:r w:rsidR="005B05B8">
        <w:rPr>
          <w:rStyle w:val="default"/>
          <w:rFonts w:cs="FrankRuehl" w:hint="cs"/>
          <w:rtl/>
        </w:rPr>
        <w:t>, נציבות</w:t>
      </w:r>
      <w:r w:rsidR="00852F42">
        <w:rPr>
          <w:rStyle w:val="default"/>
          <w:rFonts w:cs="FrankRuehl" w:hint="cs"/>
          <w:rtl/>
        </w:rPr>
        <w:t xml:space="preserve"> שוויון זכויות לאנשים עם מוגבלות</w:t>
      </w:r>
      <w:r w:rsidR="005B05B8">
        <w:rPr>
          <w:rStyle w:val="default"/>
          <w:rFonts w:cs="FrankRuehl" w:hint="cs"/>
          <w:rtl/>
        </w:rPr>
        <w:t xml:space="preserve"> ועם ארגונים העוסקים בקידום זכויות</w:t>
      </w:r>
      <w:r w:rsidR="00262C30">
        <w:rPr>
          <w:rStyle w:val="default"/>
          <w:rFonts w:cs="FrankRuehl" w:hint="cs"/>
          <w:rtl/>
        </w:rPr>
        <w:t>יהם של</w:t>
      </w:r>
      <w:r w:rsidR="005B05B8">
        <w:rPr>
          <w:rStyle w:val="default"/>
          <w:rFonts w:cs="FrankRuehl" w:hint="cs"/>
          <w:rtl/>
        </w:rPr>
        <w:t xml:space="preserve"> אנשים עם מוגבלות, בהסכמת שר האוצר לפי סעיף 19סז לחוק, </w:t>
      </w:r>
      <w:r w:rsidR="00852F42">
        <w:rPr>
          <w:rStyle w:val="default"/>
          <w:rFonts w:cs="FrankRuehl" w:hint="cs"/>
          <w:rtl/>
        </w:rPr>
        <w:t xml:space="preserve">בהתחשב בהוראות התקן הישראלי, לפי העניין, </w:t>
      </w:r>
      <w:r w:rsidR="005B05B8">
        <w:rPr>
          <w:rStyle w:val="default"/>
          <w:rFonts w:cs="FrankRuehl" w:hint="cs"/>
          <w:rtl/>
        </w:rPr>
        <w:t>ובאישור ועדת העבודה הרווחה והבריאות של הכנסת, אני מתקין תקנות אלה</w:t>
      </w:r>
      <w:r>
        <w:rPr>
          <w:rStyle w:val="default"/>
          <w:rFonts w:cs="FrankRuehl"/>
          <w:rtl/>
        </w:rPr>
        <w:t>:</w:t>
      </w:r>
    </w:p>
    <w:p w:rsidR="00262C30" w:rsidRPr="00262C30" w:rsidRDefault="00262C30" w:rsidP="00852F42">
      <w:pPr>
        <w:pStyle w:val="medium2-header"/>
        <w:keepLines w:val="0"/>
        <w:spacing w:before="72"/>
        <w:ind w:left="0" w:right="1134"/>
        <w:rPr>
          <w:rFonts w:hint="cs"/>
          <w:noProof/>
          <w:sz w:val="20"/>
          <w:rtl/>
        </w:rPr>
      </w:pPr>
      <w:bookmarkStart w:id="0" w:name="med0"/>
      <w:bookmarkEnd w:id="0"/>
      <w:r w:rsidRPr="00262C30">
        <w:rPr>
          <w:rFonts w:hint="cs"/>
          <w:noProof/>
          <w:sz w:val="20"/>
          <w:rtl/>
        </w:rPr>
        <w:t xml:space="preserve">פרק א': </w:t>
      </w:r>
      <w:r w:rsidR="00852F42">
        <w:rPr>
          <w:rFonts w:hint="cs"/>
          <w:noProof/>
          <w:sz w:val="20"/>
          <w:rtl/>
        </w:rPr>
        <w:t>כללי</w:t>
      </w:r>
    </w:p>
    <w:p w:rsidR="001153D7" w:rsidRDefault="001153D7" w:rsidP="00D706C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50048" o:allowincell="f" filled="f" stroked="f" strokecolor="lime" strokeweight=".25pt">
            <v:textbox style="mso-next-textbox:#_x0000_s1026" inset="0,0,0,0">
              <w:txbxContent>
                <w:p w:rsidR="00BE774B" w:rsidRDefault="00BE774B">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D706C7">
        <w:rPr>
          <w:rStyle w:val="default"/>
          <w:rFonts w:cs="FrankRuehl" w:hint="cs"/>
          <w:rtl/>
        </w:rPr>
        <w:t xml:space="preserve">בתקנות אלה </w:t>
      </w:r>
      <w:r w:rsidR="00D706C7">
        <w:rPr>
          <w:rStyle w:val="default"/>
          <w:rFonts w:cs="FrankRuehl"/>
          <w:rtl/>
        </w:rPr>
        <w:t>–</w:t>
      </w:r>
    </w:p>
    <w:p w:rsidR="000D2D0D" w:rsidRDefault="000D2D0D" w:rsidP="00852F42">
      <w:pPr>
        <w:pStyle w:val="P00"/>
        <w:spacing w:before="72"/>
        <w:ind w:left="0" w:right="1134"/>
        <w:rPr>
          <w:rStyle w:val="default"/>
          <w:rFonts w:cs="FrankRuehl" w:hint="cs"/>
          <w:rtl/>
        </w:rPr>
      </w:pPr>
      <w:r>
        <w:rPr>
          <w:rStyle w:val="default"/>
          <w:rFonts w:cs="FrankRuehl" w:hint="cs"/>
          <w:rtl/>
        </w:rPr>
        <w:tab/>
        <w:t xml:space="preserve">"אדם עם מוגבלות" </w:t>
      </w:r>
      <w:r>
        <w:rPr>
          <w:rStyle w:val="default"/>
          <w:rFonts w:cs="FrankRuehl"/>
          <w:rtl/>
        </w:rPr>
        <w:t>–</w:t>
      </w:r>
      <w:r>
        <w:rPr>
          <w:rStyle w:val="default"/>
          <w:rFonts w:cs="FrankRuehl" w:hint="cs"/>
          <w:rtl/>
        </w:rPr>
        <w:t xml:space="preserve"> כ</w:t>
      </w:r>
      <w:r w:rsidR="00852F42">
        <w:rPr>
          <w:rStyle w:val="default"/>
          <w:rFonts w:cs="FrankRuehl" w:hint="cs"/>
          <w:rtl/>
        </w:rPr>
        <w:t>הגדרתו</w:t>
      </w:r>
      <w:r>
        <w:rPr>
          <w:rStyle w:val="default"/>
          <w:rFonts w:cs="FrankRuehl" w:hint="cs"/>
          <w:rtl/>
        </w:rPr>
        <w:t xml:space="preserve"> בסעיף 5 לחוק;</w:t>
      </w:r>
    </w:p>
    <w:p w:rsidR="00852F42" w:rsidRDefault="00852F42" w:rsidP="00852F42">
      <w:pPr>
        <w:pStyle w:val="P00"/>
        <w:spacing w:before="72"/>
        <w:ind w:left="0" w:right="1134"/>
        <w:rPr>
          <w:rStyle w:val="default"/>
          <w:rFonts w:cs="FrankRuehl" w:hint="cs"/>
          <w:rtl/>
        </w:rPr>
      </w:pPr>
      <w:r>
        <w:rPr>
          <w:rStyle w:val="default"/>
          <w:rFonts w:cs="FrankRuehl" w:hint="cs"/>
          <w:rtl/>
        </w:rPr>
        <w:tab/>
        <w:t xml:space="preserve">"אחראי התאמות" </w:t>
      </w:r>
      <w:r>
        <w:rPr>
          <w:rStyle w:val="default"/>
          <w:rFonts w:cs="FrankRuehl"/>
          <w:rtl/>
        </w:rPr>
        <w:t>–</w:t>
      </w:r>
      <w:r>
        <w:rPr>
          <w:rStyle w:val="default"/>
          <w:rFonts w:cs="FrankRuehl" w:hint="cs"/>
          <w:rtl/>
        </w:rPr>
        <w:t xml:space="preserve"> מי שהמוסד קבע כאחראי לקביעת התאמות נגישות אישיות כמשמעותו בתקנה 11;</w:t>
      </w:r>
    </w:p>
    <w:p w:rsidR="00852F42" w:rsidRDefault="00852F42" w:rsidP="00852F42">
      <w:pPr>
        <w:pStyle w:val="P00"/>
        <w:spacing w:before="72"/>
        <w:ind w:left="0" w:right="1134"/>
        <w:rPr>
          <w:rStyle w:val="default"/>
          <w:rFonts w:cs="FrankRuehl" w:hint="cs"/>
          <w:rtl/>
        </w:rPr>
      </w:pPr>
      <w:r>
        <w:rPr>
          <w:rStyle w:val="default"/>
          <w:rFonts w:cs="FrankRuehl" w:hint="cs"/>
          <w:rtl/>
        </w:rPr>
        <w:tab/>
        <w:t xml:space="preserve">"השירות" </w:t>
      </w:r>
      <w:r w:rsidR="008A5BEA">
        <w:rPr>
          <w:rStyle w:val="default"/>
          <w:rFonts w:cs="FrankRuehl"/>
          <w:rtl/>
        </w:rPr>
        <w:t>–</w:t>
      </w:r>
      <w:r>
        <w:rPr>
          <w:rStyle w:val="default"/>
          <w:rFonts w:cs="FrankRuehl" w:hint="cs"/>
          <w:rtl/>
        </w:rPr>
        <w:t xml:space="preserve"> </w:t>
      </w:r>
      <w:r w:rsidR="008A5BEA">
        <w:rPr>
          <w:rStyle w:val="default"/>
          <w:rFonts w:cs="FrankRuehl" w:hint="cs"/>
          <w:rtl/>
        </w:rPr>
        <w:t xml:space="preserve">שירות השכלה </w:t>
      </w:r>
      <w:r w:rsidR="00200483">
        <w:rPr>
          <w:rStyle w:val="default"/>
          <w:rFonts w:cs="FrankRuehl" w:hint="cs"/>
          <w:rtl/>
        </w:rPr>
        <w:t>על-תיכונית שנותן מוסד;</w:t>
      </w:r>
    </w:p>
    <w:p w:rsidR="00200483" w:rsidRDefault="00200483" w:rsidP="00852F42">
      <w:pPr>
        <w:pStyle w:val="P00"/>
        <w:spacing w:before="72"/>
        <w:ind w:left="0" w:right="1134"/>
        <w:rPr>
          <w:rStyle w:val="default"/>
          <w:rFonts w:cs="FrankRuehl" w:hint="cs"/>
          <w:rtl/>
        </w:rPr>
      </w:pPr>
      <w:r>
        <w:rPr>
          <w:rStyle w:val="default"/>
          <w:rFonts w:cs="FrankRuehl" w:hint="cs"/>
          <w:rtl/>
        </w:rPr>
        <w:tab/>
        <w:t xml:space="preserve">"התאמות נגישות" </w:t>
      </w:r>
      <w:r>
        <w:rPr>
          <w:rStyle w:val="default"/>
          <w:rFonts w:cs="FrankRuehl"/>
          <w:rtl/>
        </w:rPr>
        <w:t>–</w:t>
      </w:r>
      <w:r>
        <w:rPr>
          <w:rStyle w:val="default"/>
          <w:rFonts w:cs="FrankRuehl" w:hint="cs"/>
          <w:rtl/>
        </w:rPr>
        <w:t xml:space="preserve"> כהגדרתן בסעיף 19א לחוק;</w:t>
      </w:r>
    </w:p>
    <w:p w:rsidR="00200483" w:rsidRDefault="00200483" w:rsidP="00852F42">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תחילתן של תקנות אלה;</w:t>
      </w:r>
    </w:p>
    <w:p w:rsidR="000D2D0D" w:rsidRDefault="000D2D0D" w:rsidP="00D706C7">
      <w:pPr>
        <w:pStyle w:val="P00"/>
        <w:spacing w:before="72"/>
        <w:ind w:left="0" w:right="1134"/>
        <w:rPr>
          <w:rStyle w:val="default"/>
          <w:rFonts w:cs="FrankRuehl" w:hint="cs"/>
          <w:rtl/>
        </w:rPr>
      </w:pPr>
      <w:r>
        <w:rPr>
          <w:rStyle w:val="default"/>
          <w:rFonts w:cs="FrankRuehl" w:hint="cs"/>
          <w:rtl/>
        </w:rPr>
        <w:tab/>
        <w:t>"</w:t>
      </w:r>
      <w:r w:rsidR="00200483">
        <w:rPr>
          <w:rStyle w:val="default"/>
          <w:rFonts w:cs="FrankRuehl" w:hint="cs"/>
          <w:rtl/>
        </w:rPr>
        <w:t xml:space="preserve">מוסד" </w:t>
      </w:r>
      <w:r w:rsidR="00200483">
        <w:rPr>
          <w:rStyle w:val="default"/>
          <w:rFonts w:cs="FrankRuehl"/>
          <w:rtl/>
        </w:rPr>
        <w:t>–</w:t>
      </w:r>
      <w:r w:rsidR="00200483">
        <w:rPr>
          <w:rStyle w:val="default"/>
          <w:rFonts w:cs="FrankRuehl" w:hint="cs"/>
          <w:rtl/>
        </w:rPr>
        <w:t xml:space="preserve"> מוסד על-תיכוני כהגדרתו בסעיף 19כז(1) עד (4) לחוק, וכן מוסד להכשרת עובדי עובדי הוראה שבפיקוח ובתקצוב משרד החינוך שאינו מוסד להשכלה גבוהה</w:t>
      </w:r>
      <w:r>
        <w:rPr>
          <w:rStyle w:val="default"/>
          <w:rFonts w:cs="FrankRuehl" w:hint="cs"/>
          <w:rtl/>
        </w:rPr>
        <w:t>;</w:t>
      </w:r>
    </w:p>
    <w:p w:rsidR="00200483" w:rsidRDefault="00200483" w:rsidP="00D706C7">
      <w:pPr>
        <w:pStyle w:val="P00"/>
        <w:spacing w:before="72"/>
        <w:ind w:left="0" w:right="1134"/>
        <w:rPr>
          <w:rStyle w:val="default"/>
          <w:rFonts w:cs="FrankRuehl" w:hint="cs"/>
          <w:rtl/>
        </w:rPr>
      </w:pPr>
      <w:r>
        <w:rPr>
          <w:rStyle w:val="default"/>
          <w:rFonts w:cs="FrankRuehl" w:hint="cs"/>
          <w:rtl/>
        </w:rPr>
        <w:tab/>
        <w:t xml:space="preserve">"מורשה לנגישות מבנים, תשתיות וסביבה" </w:t>
      </w:r>
      <w:r>
        <w:rPr>
          <w:rStyle w:val="default"/>
          <w:rFonts w:cs="FrankRuehl"/>
          <w:rtl/>
        </w:rPr>
        <w:t>–</w:t>
      </w:r>
      <w:r>
        <w:rPr>
          <w:rStyle w:val="default"/>
          <w:rFonts w:cs="FrankRuehl" w:hint="cs"/>
          <w:rtl/>
        </w:rPr>
        <w:t xml:space="preserve"> כמשמעותו בסעיף 19מא(ב) לחוק;</w:t>
      </w:r>
    </w:p>
    <w:p w:rsidR="00200483" w:rsidRDefault="00200483" w:rsidP="00D706C7">
      <w:pPr>
        <w:pStyle w:val="P00"/>
        <w:spacing w:before="72"/>
        <w:ind w:left="0" w:right="1134"/>
        <w:rPr>
          <w:rStyle w:val="default"/>
          <w:rFonts w:cs="FrankRuehl" w:hint="cs"/>
          <w:rtl/>
        </w:rPr>
      </w:pPr>
      <w:r>
        <w:rPr>
          <w:rStyle w:val="default"/>
          <w:rFonts w:cs="FrankRuehl" w:hint="cs"/>
          <w:rtl/>
        </w:rPr>
        <w:tab/>
        <w:t xml:space="preserve">"מורשה לנגישות השירות" </w:t>
      </w:r>
      <w:r>
        <w:rPr>
          <w:rStyle w:val="default"/>
          <w:rFonts w:cs="FrankRuehl"/>
          <w:rtl/>
        </w:rPr>
        <w:t>–</w:t>
      </w:r>
      <w:r>
        <w:rPr>
          <w:rStyle w:val="default"/>
          <w:rFonts w:cs="FrankRuehl" w:hint="cs"/>
          <w:rtl/>
        </w:rPr>
        <w:t xml:space="preserve"> כמשמעותו בסעיף 19מא1 לחוק;</w:t>
      </w:r>
    </w:p>
    <w:p w:rsidR="00200483" w:rsidRDefault="00200483" w:rsidP="00D706C7">
      <w:pPr>
        <w:pStyle w:val="P00"/>
        <w:spacing w:before="72"/>
        <w:ind w:left="0" w:right="1134"/>
        <w:rPr>
          <w:rStyle w:val="default"/>
          <w:rFonts w:cs="FrankRuehl" w:hint="cs"/>
          <w:rtl/>
        </w:rPr>
      </w:pPr>
      <w:r>
        <w:rPr>
          <w:rStyle w:val="default"/>
          <w:rFonts w:cs="FrankRuehl" w:hint="cs"/>
          <w:rtl/>
        </w:rPr>
        <w:tab/>
        <w:t xml:space="preserve">"מרכז תמיכה" </w:t>
      </w:r>
      <w:r>
        <w:rPr>
          <w:rStyle w:val="default"/>
          <w:rFonts w:cs="FrankRuehl"/>
          <w:rtl/>
        </w:rPr>
        <w:t>–</w:t>
      </w:r>
      <w:r>
        <w:rPr>
          <w:rStyle w:val="default"/>
          <w:rFonts w:cs="FrankRuehl" w:hint="cs"/>
          <w:rtl/>
        </w:rPr>
        <w:t xml:space="preserve"> כמשמעותו בתקנה 3;</w:t>
      </w:r>
    </w:p>
    <w:p w:rsidR="00200483" w:rsidRDefault="00200483" w:rsidP="00D706C7">
      <w:pPr>
        <w:pStyle w:val="P00"/>
        <w:spacing w:before="72"/>
        <w:ind w:left="0" w:right="1134"/>
        <w:rPr>
          <w:rStyle w:val="default"/>
          <w:rFonts w:cs="FrankRuehl" w:hint="cs"/>
          <w:rtl/>
        </w:rPr>
      </w:pPr>
      <w:r>
        <w:rPr>
          <w:rStyle w:val="default"/>
          <w:rFonts w:cs="FrankRuehl" w:hint="cs"/>
          <w:rtl/>
        </w:rPr>
        <w:tab/>
        <w:t xml:space="preserve">"תלמיד" </w:t>
      </w:r>
      <w:r>
        <w:rPr>
          <w:rStyle w:val="default"/>
          <w:rFonts w:cs="FrankRuehl"/>
          <w:rtl/>
        </w:rPr>
        <w:t>–</w:t>
      </w:r>
      <w:r>
        <w:rPr>
          <w:rStyle w:val="default"/>
          <w:rFonts w:cs="FrankRuehl" w:hint="cs"/>
          <w:rtl/>
        </w:rPr>
        <w:t xml:space="preserve"> אדם עם מוגבלות המקבל או המבקש לקבל שירות;</w:t>
      </w:r>
    </w:p>
    <w:p w:rsidR="000A1745" w:rsidRDefault="00200483" w:rsidP="007E2920">
      <w:pPr>
        <w:pStyle w:val="P00"/>
        <w:spacing w:before="72"/>
        <w:ind w:left="0" w:right="1134"/>
        <w:rPr>
          <w:rStyle w:val="default"/>
          <w:rFonts w:cs="FrankRuehl" w:hint="cs"/>
          <w:rtl/>
        </w:rPr>
      </w:pPr>
      <w:r>
        <w:rPr>
          <w:rStyle w:val="default"/>
          <w:rFonts w:cs="FrankRuehl" w:hint="cs"/>
          <w:rtl/>
        </w:rPr>
        <w:tab/>
        <w:t xml:space="preserve">"תקנות מקום קיים" </w:t>
      </w:r>
      <w:r w:rsidR="000A1745">
        <w:rPr>
          <w:rStyle w:val="default"/>
          <w:rFonts w:cs="FrankRuehl"/>
          <w:rtl/>
        </w:rPr>
        <w:t>–</w:t>
      </w:r>
      <w:r w:rsidR="000A1745">
        <w:rPr>
          <w:rStyle w:val="default"/>
          <w:rFonts w:cs="FrankRuehl" w:hint="cs"/>
          <w:rtl/>
        </w:rPr>
        <w:t xml:space="preserve"> תקנות שוויון זכויות לאנשים עם מוגבלות (התאמות נגישות למקום ציבורי שהוא בניין קיים), התשע"ב-2011;</w:t>
      </w:r>
    </w:p>
    <w:p w:rsidR="000A1745" w:rsidRDefault="000A1745" w:rsidP="00200483">
      <w:pPr>
        <w:pStyle w:val="P00"/>
        <w:spacing w:before="72"/>
        <w:ind w:left="0" w:right="1134"/>
        <w:rPr>
          <w:rStyle w:val="default"/>
          <w:rFonts w:cs="FrankRuehl" w:hint="cs"/>
          <w:rtl/>
        </w:rPr>
      </w:pPr>
      <w:r>
        <w:rPr>
          <w:rStyle w:val="default"/>
          <w:rFonts w:cs="FrankRuehl" w:hint="cs"/>
          <w:rtl/>
        </w:rPr>
        <w:tab/>
        <w:t xml:space="preserve">"תקנות נגישות </w:t>
      </w:r>
      <w:r w:rsidR="00200483">
        <w:rPr>
          <w:rStyle w:val="default"/>
          <w:rFonts w:cs="FrankRuehl" w:hint="cs"/>
          <w:rtl/>
        </w:rPr>
        <w:t>ה</w:t>
      </w:r>
      <w:r>
        <w:rPr>
          <w:rStyle w:val="default"/>
          <w:rFonts w:cs="FrankRuehl" w:hint="cs"/>
          <w:rtl/>
        </w:rPr>
        <w:t xml:space="preserve">שירות" </w:t>
      </w:r>
      <w:r>
        <w:rPr>
          <w:rStyle w:val="default"/>
          <w:rFonts w:cs="FrankRuehl"/>
          <w:rtl/>
        </w:rPr>
        <w:t>–</w:t>
      </w:r>
      <w:r>
        <w:rPr>
          <w:rStyle w:val="default"/>
          <w:rFonts w:cs="FrankRuehl" w:hint="cs"/>
          <w:rtl/>
        </w:rPr>
        <w:t xml:space="preserve"> תקנות שוויון זכויות לאנשים עם מוגבלות (התאמות נגישות לשירות), התשע"ג-2013;</w:t>
      </w:r>
    </w:p>
    <w:p w:rsidR="000A1745" w:rsidRDefault="000A1745" w:rsidP="00200483">
      <w:pPr>
        <w:pStyle w:val="P00"/>
        <w:spacing w:before="72"/>
        <w:ind w:left="0" w:right="1134"/>
        <w:rPr>
          <w:rStyle w:val="default"/>
          <w:rFonts w:cs="FrankRuehl" w:hint="cs"/>
          <w:rtl/>
        </w:rPr>
      </w:pPr>
      <w:r>
        <w:rPr>
          <w:rStyle w:val="default"/>
          <w:rFonts w:cs="FrankRuehl" w:hint="cs"/>
          <w:rtl/>
        </w:rPr>
        <w:tab/>
        <w:t>"</w:t>
      </w:r>
      <w:r w:rsidR="00200483">
        <w:rPr>
          <w:rStyle w:val="default"/>
          <w:rFonts w:cs="FrankRuehl" w:hint="cs"/>
          <w:rtl/>
        </w:rPr>
        <w:t xml:space="preserve">תקנות מקום ציבורי שאינו בניין" </w:t>
      </w:r>
      <w:r w:rsidR="00200483">
        <w:rPr>
          <w:rStyle w:val="default"/>
          <w:rFonts w:cs="FrankRuehl"/>
          <w:rtl/>
        </w:rPr>
        <w:t>–</w:t>
      </w:r>
      <w:r w:rsidR="00200483">
        <w:rPr>
          <w:rStyle w:val="default"/>
          <w:rFonts w:cs="FrankRuehl" w:hint="cs"/>
          <w:rtl/>
        </w:rPr>
        <w:t xml:space="preserve"> תקנות שוויון זכויות לאנשים עם מוגבלות (התאמות נגישות למקום ציבורי שאינו בניין), התשע"ד-2013</w:t>
      </w:r>
      <w:r>
        <w:rPr>
          <w:rStyle w:val="default"/>
          <w:rFonts w:cs="FrankRuehl" w:hint="cs"/>
          <w:rtl/>
        </w:rPr>
        <w:t>.</w:t>
      </w:r>
    </w:p>
    <w:p w:rsidR="006E0BEF" w:rsidRDefault="006E0BEF" w:rsidP="00200483">
      <w:pPr>
        <w:pStyle w:val="P00"/>
        <w:spacing w:before="72"/>
        <w:ind w:left="0" w:right="1134"/>
        <w:rPr>
          <w:rStyle w:val="default"/>
          <w:rFonts w:cs="FrankRuehl" w:hint="cs"/>
          <w:rtl/>
        </w:rPr>
      </w:pPr>
      <w:bookmarkStart w:id="2" w:name="Seif2"/>
      <w:bookmarkEnd w:id="2"/>
      <w:r>
        <w:rPr>
          <w:lang w:val="he-IL"/>
        </w:rPr>
        <w:pict>
          <v:rect id="_x0000_s1292" style="position:absolute;left:0;text-align:left;margin-left:464.5pt;margin-top:8.05pt;width:75.05pt;height:18.65pt;z-index:251651072" o:allowincell="f" filled="f" stroked="f" strokecolor="lime" strokeweight=".25pt">
            <v:textbox style="mso-next-textbox:#_x0000_s1292" inset="0,0,0,0">
              <w:txbxContent>
                <w:p w:rsidR="00BE774B" w:rsidRDefault="00200483" w:rsidP="006E0BEF">
                  <w:pPr>
                    <w:spacing w:line="160" w:lineRule="exact"/>
                    <w:jc w:val="left"/>
                    <w:rPr>
                      <w:rFonts w:cs="Miriam" w:hint="cs"/>
                      <w:szCs w:val="18"/>
                      <w:rtl/>
                    </w:rPr>
                  </w:pPr>
                  <w:r>
                    <w:rPr>
                      <w:rFonts w:cs="Miriam" w:hint="cs"/>
                      <w:szCs w:val="18"/>
                      <w:rtl/>
                    </w:rPr>
                    <w:t>החייב בביצוע התאמות נגישות</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200483">
        <w:rPr>
          <w:rStyle w:val="default"/>
          <w:rFonts w:cs="FrankRuehl" w:hint="cs"/>
          <w:rtl/>
        </w:rPr>
        <w:t>(א)</w:t>
      </w:r>
      <w:r w:rsidR="00200483">
        <w:rPr>
          <w:rStyle w:val="default"/>
          <w:rFonts w:cs="FrankRuehl" w:hint="cs"/>
          <w:rtl/>
        </w:rPr>
        <w:tab/>
        <w:t>כפוף לתקנה 15, החייב בעמידה בהתאמות הנגישות לפי תקנות אלה הוא המוסד.</w:t>
      </w:r>
    </w:p>
    <w:p w:rsidR="00200483" w:rsidRDefault="00200483" w:rsidP="002004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נתן המוסד התאמת נגישות לתלמיד לפי תקנה 12, יעבירה המוסד, ככל האפשר באמצעים סבירים, למקום או שירות שאינו המוסד שהתלמיד צריך להיות בו כחלק מלימודיו, ואולם אין באמור לפטור את אותו מקום או שירות כאמור ממתן התאמת נגישות לפי כל דין, לרבות אם התאמת הנגישות ניתנת להעברה.</w:t>
      </w:r>
    </w:p>
    <w:p w:rsidR="00200483" w:rsidRDefault="00200483" w:rsidP="002004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נקבעה בתכנית הלימודים של התלמיד לימודים מחוץ לחצרי המוסד, יבטיח המוסד, ככל האפשר, שהלימודים יתקיימו במקום שבוצעו התאמות נגישות לפי תקנות אלה.</w:t>
      </w:r>
    </w:p>
    <w:p w:rsidR="005B05B8" w:rsidRDefault="005B05B8" w:rsidP="00200483">
      <w:pPr>
        <w:pStyle w:val="P00"/>
        <w:spacing w:before="72"/>
        <w:ind w:left="0" w:right="1134"/>
        <w:rPr>
          <w:rStyle w:val="default"/>
          <w:rFonts w:cs="FrankRuehl" w:hint="cs"/>
          <w:rtl/>
        </w:rPr>
      </w:pPr>
      <w:bookmarkStart w:id="3" w:name="Seif3"/>
      <w:bookmarkEnd w:id="3"/>
      <w:r>
        <w:rPr>
          <w:lang w:val="he-IL"/>
        </w:rPr>
        <w:pict>
          <v:rect id="_x0000_s1293" style="position:absolute;left:0;text-align:left;margin-left:464.5pt;margin-top:8.05pt;width:75.05pt;height:14.3pt;z-index:251652096" o:allowincell="f" filled="f" stroked="f" strokecolor="lime" strokeweight=".25pt">
            <v:textbox style="mso-next-textbox:#_x0000_s1293" inset="0,0,0,0">
              <w:txbxContent>
                <w:p w:rsidR="00BE774B" w:rsidRDefault="00200483" w:rsidP="005B05B8">
                  <w:pPr>
                    <w:spacing w:line="160" w:lineRule="exact"/>
                    <w:jc w:val="left"/>
                    <w:rPr>
                      <w:rFonts w:cs="Miriam" w:hint="cs"/>
                      <w:szCs w:val="18"/>
                      <w:rtl/>
                    </w:rPr>
                  </w:pPr>
                  <w:r>
                    <w:rPr>
                      <w:rFonts w:cs="Miriam" w:hint="cs"/>
                      <w:szCs w:val="18"/>
                      <w:rtl/>
                    </w:rPr>
                    <w:t>מרכז תמיכה</w:t>
                  </w:r>
                </w:p>
              </w:txbxContent>
            </v:textbox>
            <w10:anchorlock/>
          </v:rect>
        </w:pict>
      </w:r>
      <w:r w:rsidR="005C15CB">
        <w:rPr>
          <w:rStyle w:val="big-number"/>
          <w:rFonts w:hint="cs"/>
          <w:rtl/>
        </w:rPr>
        <w:t>3</w:t>
      </w:r>
      <w:r>
        <w:rPr>
          <w:rStyle w:val="default"/>
          <w:rFonts w:cs="FrankRuehl"/>
          <w:rtl/>
        </w:rPr>
        <w:t>.</w:t>
      </w:r>
      <w:r>
        <w:rPr>
          <w:rStyle w:val="default"/>
          <w:rFonts w:cs="FrankRuehl"/>
          <w:rtl/>
        </w:rPr>
        <w:tab/>
      </w:r>
      <w:r w:rsidR="00200483">
        <w:rPr>
          <w:rStyle w:val="default"/>
          <w:rFonts w:cs="FrankRuehl" w:hint="cs"/>
          <w:rtl/>
        </w:rPr>
        <w:t>(א)</w:t>
      </w:r>
      <w:r w:rsidR="00200483">
        <w:rPr>
          <w:rStyle w:val="default"/>
          <w:rFonts w:cs="FrankRuehl" w:hint="cs"/>
          <w:rtl/>
        </w:rPr>
        <w:tab/>
        <w:t>מוסד יקיים מרכז תמיכה שיתמחה במתן סיוע לתלמיד ולמוסד באמצעות אנשים בעלי ידע וניסיון מתאימים ואם יש בכך צורך בהתייעצות עם בעלי מומחיות ספציפית והכול בשיתוף עם התלמיד</w:t>
      </w:r>
      <w:r w:rsidR="005C15CB">
        <w:rPr>
          <w:rStyle w:val="default"/>
          <w:rFonts w:cs="FrankRuehl" w:hint="cs"/>
          <w:rtl/>
        </w:rPr>
        <w:t>.</w:t>
      </w:r>
    </w:p>
    <w:p w:rsidR="00200483" w:rsidRDefault="00200483" w:rsidP="002004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מרכז התמיכה ישמש אמצעי לקיום חובות המוטלות על מוסד לפי פרקים ג' וד' </w:t>
      </w:r>
      <w:r>
        <w:rPr>
          <w:rStyle w:val="default"/>
          <w:rFonts w:cs="FrankRuehl" w:hint="cs"/>
          <w:rtl/>
        </w:rPr>
        <w:lastRenderedPageBreak/>
        <w:t>ולרבות באמצעות הפעולות האלה, לפי הצורך:</w:t>
      </w:r>
    </w:p>
    <w:p w:rsidR="00200483" w:rsidRDefault="00200483" w:rsidP="00ED78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ייעוץ תמיכה וליווי אישי ומקצועי לתלמיד בקשר ללימודיו במוסד;</w:t>
      </w:r>
    </w:p>
    <w:p w:rsidR="00200483" w:rsidRDefault="00200483" w:rsidP="00ED78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סיוע בהגשת בקשה כמשמעותה בתקנה 12 ומתן חוות דעת לאחראי לקביעת התאמות נגישות אישיות בדבר ההתאמות הנדרשות;</w:t>
      </w:r>
    </w:p>
    <w:p w:rsidR="00200483" w:rsidRDefault="00200483" w:rsidP="00ED78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D782B">
        <w:rPr>
          <w:rStyle w:val="default"/>
          <w:rFonts w:cs="FrankRuehl" w:hint="cs"/>
          <w:rtl/>
        </w:rPr>
        <w:t>הדרכה וסיוע פרטני או קבוצתי להקניה ושיפור הרגלי למידה ואסטרטגיות למידה;</w:t>
      </w:r>
    </w:p>
    <w:p w:rsidR="00ED782B" w:rsidRDefault="00ED782B" w:rsidP="00ED782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ליווי ותמיכה במתן התאמות ובשימוש בהן בלימודים במוסד;</w:t>
      </w:r>
    </w:p>
    <w:p w:rsidR="00ED782B" w:rsidRDefault="00ED782B" w:rsidP="00ED782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ליווי, הדרכה והכשרה של צוות ההוראות והצוות המינהלי;</w:t>
      </w:r>
    </w:p>
    <w:p w:rsidR="00ED782B" w:rsidRDefault="00ED782B" w:rsidP="00ED782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ייעוץ לצוות המוסד בנוגע למתן התאמות ותמיכה בתלמיד;</w:t>
      </w:r>
    </w:p>
    <w:p w:rsidR="00ED782B" w:rsidRDefault="00ED782B" w:rsidP="00ED782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אספקה, תחזוקה והפעלה של אמצעי עזר ושירותי עזר הנדרשים לתלמיד.</w:t>
      </w:r>
    </w:p>
    <w:p w:rsidR="00ED782B" w:rsidRDefault="00ED782B" w:rsidP="002004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מוסד יספק את השירותים המפורטים בתקנת משנה (ב) בכל קמפוס או מרכז לימוד; מוסד רשאי לספק את השירותים האמורים גם באמצעות רכישת השירותים, לרבות הפניה לגורם אחר הנותן אמצעי עזר או שירותי עזר לתלמיד.</w:t>
      </w:r>
    </w:p>
    <w:p w:rsidR="00852F42" w:rsidRPr="00CA28A7" w:rsidRDefault="00852F42" w:rsidP="00ED782B">
      <w:pPr>
        <w:pStyle w:val="medium2-header"/>
        <w:keepLines w:val="0"/>
        <w:spacing w:before="72"/>
        <w:ind w:left="0" w:right="1134"/>
        <w:rPr>
          <w:rFonts w:hint="cs"/>
          <w:noProof/>
          <w:rtl/>
        </w:rPr>
      </w:pPr>
      <w:bookmarkStart w:id="4" w:name="med1"/>
      <w:bookmarkEnd w:id="4"/>
      <w:r>
        <w:rPr>
          <w:rFonts w:hint="cs"/>
          <w:noProof/>
          <w:rtl/>
        </w:rPr>
        <w:t xml:space="preserve">פרק </w:t>
      </w:r>
      <w:r w:rsidR="00ED782B">
        <w:rPr>
          <w:rFonts w:hint="cs"/>
          <w:noProof/>
          <w:rtl/>
        </w:rPr>
        <w:t>ב': נגישות מבנים, תשתיות וסביבה</w:t>
      </w:r>
    </w:p>
    <w:p w:rsidR="005B05B8" w:rsidRDefault="005B05B8" w:rsidP="00ED782B">
      <w:pPr>
        <w:pStyle w:val="P00"/>
        <w:spacing w:before="72"/>
        <w:ind w:left="0" w:right="1134"/>
        <w:rPr>
          <w:rStyle w:val="default"/>
          <w:rFonts w:cs="FrankRuehl" w:hint="cs"/>
          <w:rtl/>
        </w:rPr>
      </w:pPr>
      <w:bookmarkStart w:id="5" w:name="Seif4"/>
      <w:bookmarkEnd w:id="5"/>
      <w:r>
        <w:rPr>
          <w:lang w:val="he-IL"/>
        </w:rPr>
        <w:pict>
          <v:rect id="_x0000_s1294" style="position:absolute;left:0;text-align:left;margin-left:464.5pt;margin-top:8.05pt;width:75.05pt;height:19.75pt;z-index:251653120" o:allowincell="f" filled="f" stroked="f" strokecolor="lime" strokeweight=".25pt">
            <v:textbox style="mso-next-textbox:#_x0000_s1294" inset="0,0,0,0">
              <w:txbxContent>
                <w:p w:rsidR="00BE774B" w:rsidRDefault="00ED782B" w:rsidP="005B05B8">
                  <w:pPr>
                    <w:spacing w:line="160" w:lineRule="exact"/>
                    <w:jc w:val="left"/>
                    <w:rPr>
                      <w:rFonts w:cs="Miriam" w:hint="cs"/>
                      <w:szCs w:val="18"/>
                      <w:rtl/>
                    </w:rPr>
                  </w:pPr>
                  <w:r>
                    <w:rPr>
                      <w:rFonts w:cs="Miriam" w:hint="cs"/>
                      <w:szCs w:val="18"/>
                      <w:rtl/>
                    </w:rPr>
                    <w:t>תחולת תקנות מקום קיים</w:t>
                  </w:r>
                </w:p>
              </w:txbxContent>
            </v:textbox>
            <w10:anchorlock/>
          </v:rect>
        </w:pict>
      </w:r>
      <w:r w:rsidR="001C2251">
        <w:rPr>
          <w:rStyle w:val="big-number"/>
          <w:rFonts w:hint="cs"/>
          <w:rtl/>
        </w:rPr>
        <w:t>4</w:t>
      </w:r>
      <w:r>
        <w:rPr>
          <w:rStyle w:val="default"/>
          <w:rFonts w:cs="FrankRuehl"/>
          <w:rtl/>
        </w:rPr>
        <w:t>.</w:t>
      </w:r>
      <w:r>
        <w:rPr>
          <w:rStyle w:val="default"/>
          <w:rFonts w:cs="FrankRuehl"/>
          <w:rtl/>
        </w:rPr>
        <w:tab/>
      </w:r>
      <w:r w:rsidR="00ED782B">
        <w:rPr>
          <w:rStyle w:val="default"/>
          <w:rFonts w:cs="FrankRuehl" w:hint="cs"/>
          <w:rtl/>
        </w:rPr>
        <w:t>(א)</w:t>
      </w:r>
      <w:r w:rsidR="00ED782B">
        <w:rPr>
          <w:rStyle w:val="default"/>
          <w:rFonts w:cs="FrankRuehl" w:hint="cs"/>
          <w:rtl/>
        </w:rPr>
        <w:tab/>
        <w:t>על מוסד יחולו, בשינויים המחויבים לפי העניין, הוראות הנגישות שבתקנות מקום קיים, למעט תקנות 7 עד 10 לתקנות האמורות</w:t>
      </w:r>
      <w:r w:rsidR="001C2251">
        <w:rPr>
          <w:rStyle w:val="default"/>
          <w:rFonts w:cs="FrankRuehl" w:hint="cs"/>
          <w:rtl/>
        </w:rPr>
        <w:t>.</w:t>
      </w:r>
    </w:p>
    <w:p w:rsidR="00ED782B" w:rsidRDefault="00ED782B" w:rsidP="00ED78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בפרט משנה (2)(1) עד (4) לפרט 2 בתוספת הראשונה בתקנות מקום קיים, יחולו על מוסד גם הוראות אלה:</w:t>
      </w:r>
    </w:p>
    <w:p w:rsidR="00ED782B" w:rsidRDefault="00ED782B" w:rsidP="00ED78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החניות הנגישות שנדרשות לפי תקנות מקום קיים יחושבו בנפרד, לכל חניון שבחזקת המוסד;</w:t>
      </w:r>
    </w:p>
    <w:p w:rsidR="00ED782B" w:rsidRDefault="00ED782B" w:rsidP="00ED78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החניות הנגישות ייקבעו קרוב, ככל האפשר, לדרך הנגישה ולכניסות הנגישות של הבניינים שבשטחי המוסד;</w:t>
      </w:r>
    </w:p>
    <w:p w:rsidR="00ED782B" w:rsidRDefault="00ED782B" w:rsidP="00ED78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רשאי, על פי שיקול דעתו, להעביר חניות נגישות בין חניונים כך שהחניות הנגישות ייקבעו קרוב ככל האפשר למבנים שבשטח המוסד וכן בפיזור נכון, כדי לתת נגישות למבנים לאנשים עם מוגבלות.</w:t>
      </w:r>
    </w:p>
    <w:p w:rsidR="005B05B8" w:rsidRDefault="005B05B8" w:rsidP="00ED782B">
      <w:pPr>
        <w:pStyle w:val="P00"/>
        <w:spacing w:before="72"/>
        <w:ind w:left="0" w:right="1134"/>
        <w:rPr>
          <w:rStyle w:val="default"/>
          <w:rFonts w:cs="FrankRuehl" w:hint="cs"/>
          <w:rtl/>
        </w:rPr>
      </w:pPr>
      <w:bookmarkStart w:id="6" w:name="Seif5"/>
      <w:bookmarkEnd w:id="6"/>
      <w:r>
        <w:rPr>
          <w:lang w:val="he-IL"/>
        </w:rPr>
        <w:pict>
          <v:rect id="_x0000_s1295" style="position:absolute;left:0;text-align:left;margin-left:464.5pt;margin-top:8.05pt;width:75.05pt;height:21.4pt;z-index:251654144" o:allowincell="f" filled="f" stroked="f" strokecolor="lime" strokeweight=".25pt">
            <v:textbox style="mso-next-textbox:#_x0000_s1295" inset="0,0,0,0">
              <w:txbxContent>
                <w:p w:rsidR="00BE774B" w:rsidRDefault="00ED782B" w:rsidP="005B05B8">
                  <w:pPr>
                    <w:spacing w:line="160" w:lineRule="exact"/>
                    <w:jc w:val="left"/>
                    <w:rPr>
                      <w:rFonts w:cs="Miriam" w:hint="cs"/>
                      <w:szCs w:val="18"/>
                      <w:rtl/>
                    </w:rPr>
                  </w:pPr>
                  <w:r>
                    <w:rPr>
                      <w:rFonts w:cs="Miriam" w:hint="cs"/>
                      <w:szCs w:val="18"/>
                      <w:rtl/>
                    </w:rPr>
                    <w:t>תחולת תקנות מקום ציבורי שאינו בניין</w:t>
                  </w:r>
                </w:p>
              </w:txbxContent>
            </v:textbox>
            <w10:anchorlock/>
          </v:rect>
        </w:pict>
      </w:r>
      <w:r w:rsidR="001C2251">
        <w:rPr>
          <w:rStyle w:val="big-number"/>
          <w:rFonts w:hint="cs"/>
          <w:rtl/>
        </w:rPr>
        <w:t>5</w:t>
      </w:r>
      <w:r>
        <w:rPr>
          <w:rStyle w:val="default"/>
          <w:rFonts w:cs="FrankRuehl"/>
          <w:rtl/>
        </w:rPr>
        <w:t>.</w:t>
      </w:r>
      <w:r>
        <w:rPr>
          <w:rStyle w:val="default"/>
          <w:rFonts w:cs="FrankRuehl"/>
          <w:rtl/>
        </w:rPr>
        <w:tab/>
      </w:r>
      <w:r w:rsidR="00ED782B">
        <w:rPr>
          <w:rStyle w:val="default"/>
          <w:rFonts w:cs="FrankRuehl" w:hint="cs"/>
          <w:rtl/>
        </w:rPr>
        <w:t>על מוסד יחולו הוראות תקנות 10(א) ו-(ב), 16, 18 ו-19 ופרט 12 לתוספת השנייה לתקנות מקום ציבורי שאינו בניין, בשינויים המחויבים לפי העניין</w:t>
      </w:r>
      <w:r w:rsidR="006415BC">
        <w:rPr>
          <w:rStyle w:val="default"/>
          <w:rFonts w:cs="FrankRuehl" w:hint="cs"/>
          <w:rtl/>
        </w:rPr>
        <w:t>.</w:t>
      </w:r>
    </w:p>
    <w:p w:rsidR="00ED782B" w:rsidRPr="00CA28A7" w:rsidRDefault="00ED782B" w:rsidP="00ED782B">
      <w:pPr>
        <w:pStyle w:val="medium2-header"/>
        <w:keepLines w:val="0"/>
        <w:spacing w:before="72"/>
        <w:ind w:left="0" w:right="1134"/>
        <w:rPr>
          <w:rFonts w:hint="cs"/>
          <w:noProof/>
          <w:rtl/>
        </w:rPr>
      </w:pPr>
      <w:bookmarkStart w:id="7" w:name="med2"/>
      <w:bookmarkEnd w:id="7"/>
      <w:r>
        <w:rPr>
          <w:rFonts w:hint="cs"/>
          <w:noProof/>
          <w:rtl/>
        </w:rPr>
        <w:t>פרק ג': נגישות השירות</w:t>
      </w:r>
    </w:p>
    <w:p w:rsidR="005B05B8" w:rsidRDefault="005B05B8" w:rsidP="00B929B2">
      <w:pPr>
        <w:pStyle w:val="P00"/>
        <w:spacing w:before="72"/>
        <w:ind w:left="0" w:right="1134"/>
        <w:rPr>
          <w:rStyle w:val="default"/>
          <w:rFonts w:cs="FrankRuehl" w:hint="cs"/>
          <w:rtl/>
        </w:rPr>
      </w:pPr>
      <w:bookmarkStart w:id="8" w:name="Seif6"/>
      <w:bookmarkEnd w:id="8"/>
      <w:r>
        <w:rPr>
          <w:lang w:val="he-IL"/>
        </w:rPr>
        <w:pict>
          <v:rect id="_x0000_s1296" style="position:absolute;left:0;text-align:left;margin-left:464.5pt;margin-top:8.05pt;width:75.05pt;height:19.7pt;z-index:251655168" o:allowincell="f" filled="f" stroked="f" strokecolor="lime" strokeweight=".25pt">
            <v:textbox style="mso-next-textbox:#_x0000_s1296" inset="0,0,0,0">
              <w:txbxContent>
                <w:p w:rsidR="00BE774B" w:rsidRDefault="00ED782B" w:rsidP="005B05B8">
                  <w:pPr>
                    <w:spacing w:line="160" w:lineRule="exact"/>
                    <w:jc w:val="left"/>
                    <w:rPr>
                      <w:rFonts w:cs="Miriam" w:hint="cs"/>
                      <w:szCs w:val="18"/>
                      <w:rtl/>
                    </w:rPr>
                  </w:pPr>
                  <w:r>
                    <w:rPr>
                      <w:rFonts w:cs="Miriam" w:hint="cs"/>
                      <w:szCs w:val="18"/>
                      <w:rtl/>
                    </w:rPr>
                    <w:t>תחולת תקנות נגישות השירות</w:t>
                  </w:r>
                </w:p>
              </w:txbxContent>
            </v:textbox>
            <w10:anchorlock/>
          </v:rect>
        </w:pict>
      </w:r>
      <w:r w:rsidR="006415BC">
        <w:rPr>
          <w:rStyle w:val="big-number"/>
          <w:rFonts w:hint="cs"/>
          <w:rtl/>
        </w:rPr>
        <w:t>6</w:t>
      </w:r>
      <w:r>
        <w:rPr>
          <w:rStyle w:val="default"/>
          <w:rFonts w:cs="FrankRuehl"/>
          <w:rtl/>
        </w:rPr>
        <w:t>.</w:t>
      </w:r>
      <w:r>
        <w:rPr>
          <w:rStyle w:val="default"/>
          <w:rFonts w:cs="FrankRuehl"/>
          <w:rtl/>
        </w:rPr>
        <w:tab/>
      </w:r>
      <w:r w:rsidR="00B55094">
        <w:rPr>
          <w:rStyle w:val="default"/>
          <w:rFonts w:cs="FrankRuehl" w:hint="cs"/>
          <w:rtl/>
        </w:rPr>
        <w:t>(א)</w:t>
      </w:r>
      <w:r w:rsidR="00B55094">
        <w:rPr>
          <w:rStyle w:val="default"/>
          <w:rFonts w:cs="FrankRuehl" w:hint="cs"/>
          <w:rtl/>
        </w:rPr>
        <w:tab/>
      </w:r>
      <w:r w:rsidR="00B929B2">
        <w:rPr>
          <w:rStyle w:val="default"/>
          <w:rFonts w:cs="FrankRuehl" w:hint="cs"/>
          <w:rtl/>
        </w:rPr>
        <w:t>על מוסד יחולו הוראות תקנות נגישות השירות בשינויים המחויבים לפי העניין, למעט הוראות תקנה 71, פרטים ח' וט' והוראות התוספת הראשונה והשנייה לתקנות האמורות ולמעט ההוראות הקובעות מועדים, ובכפוף להוראות אלה ובכפוף לתקנה 7:</w:t>
      </w:r>
    </w:p>
    <w:p w:rsidR="00B929B2" w:rsidRDefault="00B929B2" w:rsidP="00F076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בכל מקום שניתן בו שירות יהיה השילוט לאיתור או לזיהוי עומד בהוראות ת"י 1918 חלק 4 </w:t>
      </w:r>
      <w:r>
        <w:rPr>
          <w:rStyle w:val="default"/>
          <w:rFonts w:cs="FrankRuehl"/>
          <w:rtl/>
        </w:rPr>
        <w:t>–</w:t>
      </w:r>
      <w:r>
        <w:rPr>
          <w:rStyle w:val="default"/>
          <w:rFonts w:cs="FrankRuehl" w:hint="cs"/>
          <w:rtl/>
        </w:rPr>
        <w:t xml:space="preserve"> נגישות הסביבה הבנויה: תקשורת, לעניין ניגוד חזותי ומישושי בשילוט, זולת אם הותקן שלט קולי העומד בהוראות התקן האמור או אמצעי טכנולוגי אחר שאז יהיה המוסד פטור מהצבת שילוט שיש בו ניגוד מישושי לפי הוראות אותו תקן;</w:t>
      </w:r>
    </w:p>
    <w:p w:rsidR="00B929B2" w:rsidRDefault="00B929B2" w:rsidP="00F076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616CC">
        <w:rPr>
          <w:rStyle w:val="default"/>
          <w:rFonts w:cs="FrankRuehl" w:hint="cs"/>
          <w:rtl/>
        </w:rPr>
        <w:t>התקיים הפטור האמור בתקנה 25(ג) במכונת צילום, יעמיד המוסד בספרייה אדם שיסייע לאדם עם מוגבלות בהפעלת מכונת הצילום;</w:t>
      </w:r>
    </w:p>
    <w:p w:rsidR="009616CC" w:rsidRDefault="009616CC" w:rsidP="00F076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תקנה 35 תחול, למעט לעניין מסמכים מצולמים או סרוקים שאין למוסד קובץ דיגיטלי</w:t>
      </w:r>
      <w:r w:rsidR="00F076F1">
        <w:rPr>
          <w:rStyle w:val="default"/>
          <w:rFonts w:cs="FrankRuehl" w:hint="cs"/>
          <w:rtl/>
        </w:rPr>
        <w:t xml:space="preserve"> שלהם, ולמעט מדיה תלוית זמן, כגון אודיו או וידאו; לפי בקשת תלמיד יחולו על מסמכים ומדיה תלוית זמן כאמור, הוראות תקנה 29(ג) ו-(ד) או לפי הוראות ת"י 5568 קווים מנחים לנגישות תכנית באינטרנט, ולעניין מדיה תלוית זמן </w:t>
      </w:r>
      <w:r w:rsidR="00F076F1">
        <w:rPr>
          <w:rStyle w:val="default"/>
          <w:rFonts w:cs="FrankRuehl"/>
          <w:rtl/>
        </w:rPr>
        <w:t>–</w:t>
      </w:r>
      <w:r w:rsidR="00F076F1">
        <w:rPr>
          <w:rStyle w:val="default"/>
          <w:rFonts w:cs="FrankRuehl" w:hint="cs"/>
          <w:rtl/>
        </w:rPr>
        <w:t xml:space="preserve"> לרבות כתוביות ותיאור קולי; ואולם אתרים של סגל מחקר או מעבדות שאינם מיועדים לצורכי הוראה, לימודים או קורסים שיוקמו לאחר יום התחילה יהיו על גבי פלטפורמה נגישה לפי הת"י האמור; תכנים שמועלים באתרים כאמור, לרבות באתרים שהוקמו לפני יום התחילה, יונגשו לפי בקשת תלמיד;</w:t>
      </w:r>
    </w:p>
    <w:p w:rsidR="00F076F1" w:rsidRDefault="00F076F1" w:rsidP="00F076F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בתקנה 69(ב) לעניין תחולתה בשירותי הדרכה והוראה, תקנה 69 תחול למעט תקנת משנה (ב)(5) עד (7);</w:t>
      </w:r>
    </w:p>
    <w:p w:rsidR="00F076F1" w:rsidRDefault="00F076F1" w:rsidP="00F076F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 אף הוראות תקנה 54(2)(א) ו-(ב) יחולו הוראות אלה:</w:t>
      </w:r>
    </w:p>
    <w:p w:rsidR="00F076F1" w:rsidRDefault="00F076F1" w:rsidP="000B58F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בחדרי לימוד לרבות </w:t>
      </w:r>
      <w:r w:rsidR="00E02836">
        <w:rPr>
          <w:rStyle w:val="default"/>
          <w:rFonts w:cs="FrankRuehl" w:hint="cs"/>
          <w:rtl/>
        </w:rPr>
        <w:t>מעבדות וחדרי תרגול ובאולמות שבהם עד 100 מקומות ישיבה ולא נעשה בהם דרך קבע שימוש באמצעי הגברת קול, יספק המוסד מערכת להגברת שמע אישית אלחוטית, לבקשת תלמיד;</w:t>
      </w:r>
      <w:r w:rsidR="000B58F3">
        <w:rPr>
          <w:rStyle w:val="default"/>
          <w:rFonts w:cs="FrankRuehl" w:hint="cs"/>
          <w:rtl/>
        </w:rPr>
        <w:t xml:space="preserve"> אם נעזר התלמיד באופן קבוע במערכת שמע אישית אלחוטית, יספק המוסד את השירות באופן נגיש באמצעות מערכת זו לפי בקשת התלמיד כאמור;</w:t>
      </w:r>
    </w:p>
    <w:p w:rsidR="000B58F3" w:rsidRDefault="000B58F3" w:rsidP="000B58F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בחדרי לימוד, לרבות מעבדות וחדרי תרגול, ובאולמות שבהם מעל 100 מקומות ישיבה ונעשה בהם דרך קבע שימוש באמצעי הגברת קול, יתקין המוסד מערכת עזר לשמיעה והמוסד יספק מקלטי אוזניות לפי הצורך לבקשת תלמיד.</w:t>
      </w:r>
    </w:p>
    <w:p w:rsidR="000B58F3" w:rsidRDefault="000B58F3" w:rsidP="00E028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תקנת משנה (א), בכל מקרה של סתירה בין הוראות תקנות אלה לתקנות נגישות השירות </w:t>
      </w:r>
      <w:r>
        <w:rPr>
          <w:rStyle w:val="default"/>
          <w:rFonts w:cs="FrankRuehl"/>
          <w:rtl/>
        </w:rPr>
        <w:t>–</w:t>
      </w:r>
      <w:r>
        <w:rPr>
          <w:rStyle w:val="default"/>
          <w:rFonts w:cs="FrankRuehl" w:hint="cs"/>
          <w:rtl/>
        </w:rPr>
        <w:t xml:space="preserve"> יחולו תקנות אלה.</w:t>
      </w:r>
    </w:p>
    <w:p w:rsidR="005B05B8" w:rsidRDefault="005B05B8" w:rsidP="000B58F3">
      <w:pPr>
        <w:pStyle w:val="P00"/>
        <w:spacing w:before="72"/>
        <w:ind w:left="0" w:right="1134"/>
        <w:rPr>
          <w:rStyle w:val="default"/>
          <w:rFonts w:cs="FrankRuehl" w:hint="cs"/>
          <w:rtl/>
        </w:rPr>
      </w:pPr>
      <w:bookmarkStart w:id="9" w:name="Seif7"/>
      <w:bookmarkEnd w:id="9"/>
      <w:r>
        <w:rPr>
          <w:lang w:val="he-IL"/>
        </w:rPr>
        <w:pict>
          <v:rect id="_x0000_s1297" style="position:absolute;left:0;text-align:left;margin-left:464.5pt;margin-top:8.05pt;width:75.05pt;height:16.35pt;z-index:251656192" o:allowincell="f" filled="f" stroked="f" strokecolor="lime" strokeweight=".25pt">
            <v:textbox style="mso-next-textbox:#_x0000_s1297" inset="0,0,0,0">
              <w:txbxContent>
                <w:p w:rsidR="00BE774B" w:rsidRDefault="000B58F3" w:rsidP="005B05B8">
                  <w:pPr>
                    <w:spacing w:line="160" w:lineRule="exact"/>
                    <w:jc w:val="left"/>
                    <w:rPr>
                      <w:rFonts w:cs="Miriam" w:hint="cs"/>
                      <w:szCs w:val="18"/>
                      <w:rtl/>
                    </w:rPr>
                  </w:pPr>
                  <w:r>
                    <w:rPr>
                      <w:rFonts w:cs="Miriam" w:hint="cs"/>
                      <w:szCs w:val="18"/>
                      <w:rtl/>
                    </w:rPr>
                    <w:t>אקוסטיקה והתאמות</w:t>
                  </w:r>
                </w:p>
              </w:txbxContent>
            </v:textbox>
            <w10:anchorlock/>
          </v:rect>
        </w:pict>
      </w:r>
      <w:r w:rsidR="006415BC">
        <w:rPr>
          <w:rStyle w:val="big-number"/>
          <w:rFonts w:hint="cs"/>
          <w:rtl/>
        </w:rPr>
        <w:t>7</w:t>
      </w:r>
      <w:r>
        <w:rPr>
          <w:rStyle w:val="default"/>
          <w:rFonts w:cs="FrankRuehl"/>
          <w:rtl/>
        </w:rPr>
        <w:t>.</w:t>
      </w:r>
      <w:r>
        <w:rPr>
          <w:rStyle w:val="default"/>
          <w:rFonts w:cs="FrankRuehl"/>
          <w:rtl/>
        </w:rPr>
        <w:tab/>
      </w:r>
      <w:r w:rsidR="000B58F3">
        <w:rPr>
          <w:rStyle w:val="default"/>
          <w:rFonts w:cs="FrankRuehl" w:hint="cs"/>
          <w:rtl/>
        </w:rPr>
        <w:t>(א)</w:t>
      </w:r>
      <w:r w:rsidR="000B58F3">
        <w:rPr>
          <w:rStyle w:val="default"/>
          <w:rFonts w:cs="FrankRuehl" w:hint="cs"/>
          <w:rtl/>
        </w:rPr>
        <w:tab/>
        <w:t xml:space="preserve">בחדרי לימוד ואולמות חדשים או במקומות כאמור ששופצו במוסד מיום התחילה ואילך, יחולו הוראות ת"י 2004 חלק 1 </w:t>
      </w:r>
      <w:r w:rsidR="000B58F3">
        <w:rPr>
          <w:rStyle w:val="default"/>
          <w:rFonts w:cs="FrankRuehl"/>
          <w:rtl/>
        </w:rPr>
        <w:t>–</w:t>
      </w:r>
      <w:r w:rsidR="000B58F3">
        <w:rPr>
          <w:rStyle w:val="default"/>
          <w:rFonts w:cs="FrankRuehl" w:hint="cs"/>
          <w:rtl/>
        </w:rPr>
        <w:t xml:space="preserve"> אקוסטיקה במבנים שאינם למגורים: מרחבי למידה במבני קבע </w:t>
      </w:r>
      <w:r w:rsidR="000B58F3">
        <w:rPr>
          <w:rStyle w:val="default"/>
          <w:rFonts w:cs="FrankRuehl"/>
          <w:rtl/>
        </w:rPr>
        <w:t>–</w:t>
      </w:r>
      <w:r w:rsidR="000B58F3">
        <w:rPr>
          <w:rStyle w:val="default"/>
          <w:rFonts w:cs="FrankRuehl" w:hint="cs"/>
          <w:rtl/>
        </w:rPr>
        <w:t xml:space="preserve"> קריטריונים, דרישות תוכן וקווים מנחים, שדן באקוסטיקה במרחבי לימוד; לעניין זה, "שיפוץ" </w:t>
      </w:r>
      <w:r w:rsidR="000B58F3">
        <w:rPr>
          <w:rStyle w:val="default"/>
          <w:rFonts w:cs="FrankRuehl"/>
          <w:rtl/>
        </w:rPr>
        <w:t>–</w:t>
      </w:r>
      <w:r w:rsidR="000B58F3">
        <w:rPr>
          <w:rStyle w:val="default"/>
          <w:rFonts w:cs="FrankRuehl" w:hint="cs"/>
          <w:rtl/>
        </w:rPr>
        <w:t xml:space="preserve"> כמשמעותו בתקנה 7(ד) לתקנות מקום קיים</w:t>
      </w:r>
      <w:r w:rsidR="00E872B4">
        <w:rPr>
          <w:rStyle w:val="default"/>
          <w:rFonts w:cs="FrankRuehl" w:hint="cs"/>
          <w:rtl/>
        </w:rPr>
        <w:t>.</w:t>
      </w:r>
    </w:p>
    <w:p w:rsidR="000B58F3" w:rsidRDefault="000B58F3" w:rsidP="000B58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F33DE">
        <w:rPr>
          <w:rStyle w:val="default"/>
          <w:rFonts w:cs="FrankRuehl" w:hint="cs"/>
          <w:rtl/>
        </w:rPr>
        <w:t>על אף האמור בתקנת משנה (א), בכל האולמות ומרחבי הלימוד הקיימים שבהם 150 מקומות לפחות או מותקנת בהם מערכת הגברה סביבתית קבועה ונוסף על כך ב-10% מהכיתות ומרחבי הלימוד הקיימים במוסד, יחולו הוראות ת"י 2004 חלק 1; מוסד יקבע את פיזור הכיתות עם התאמות הנגישות לפי תקנה זו באופן אחיד בפקולטות ובהתחשב בפיזור המבנים ובגודל הכיתות.</w:t>
      </w:r>
    </w:p>
    <w:p w:rsidR="00262C30" w:rsidRDefault="00262C30" w:rsidP="00BF4914">
      <w:pPr>
        <w:pStyle w:val="P00"/>
        <w:spacing w:before="72"/>
        <w:ind w:left="0" w:right="1134"/>
        <w:rPr>
          <w:rStyle w:val="default"/>
          <w:rFonts w:cs="FrankRuehl" w:hint="cs"/>
          <w:rtl/>
        </w:rPr>
      </w:pPr>
      <w:bookmarkStart w:id="10" w:name="Seif8"/>
      <w:bookmarkEnd w:id="10"/>
      <w:r>
        <w:rPr>
          <w:lang w:val="he-IL"/>
        </w:rPr>
        <w:pict>
          <v:rect id="_x0000_s1298" style="position:absolute;left:0;text-align:left;margin-left:464.5pt;margin-top:8.05pt;width:75.05pt;height:17.65pt;z-index:251657216" o:allowincell="f" filled="f" stroked="f" strokecolor="lime" strokeweight=".25pt">
            <v:textbox style="mso-next-textbox:#_x0000_s1298" inset="0,0,0,0">
              <w:txbxContent>
                <w:p w:rsidR="00BE774B" w:rsidRDefault="002F33DE" w:rsidP="00262C30">
                  <w:pPr>
                    <w:spacing w:line="160" w:lineRule="exact"/>
                    <w:jc w:val="left"/>
                    <w:rPr>
                      <w:rFonts w:cs="Miriam" w:hint="cs"/>
                      <w:szCs w:val="18"/>
                      <w:rtl/>
                    </w:rPr>
                  </w:pPr>
                  <w:r>
                    <w:rPr>
                      <w:rFonts w:cs="Miriam" w:hint="cs"/>
                      <w:szCs w:val="18"/>
                      <w:rtl/>
                    </w:rPr>
                    <w:t>מקומות ישיבה במקומות הלימוד</w:t>
                  </w:r>
                </w:p>
              </w:txbxContent>
            </v:textbox>
            <w10:anchorlock/>
          </v:rect>
        </w:pict>
      </w:r>
      <w:r w:rsidR="00E872B4">
        <w:rPr>
          <w:rStyle w:val="big-number"/>
          <w:rFonts w:hint="cs"/>
          <w:rtl/>
        </w:rPr>
        <w:t>8</w:t>
      </w:r>
      <w:r>
        <w:rPr>
          <w:rStyle w:val="default"/>
          <w:rFonts w:cs="FrankRuehl"/>
          <w:rtl/>
        </w:rPr>
        <w:t>.</w:t>
      </w:r>
      <w:r>
        <w:rPr>
          <w:rStyle w:val="default"/>
          <w:rFonts w:cs="FrankRuehl"/>
          <w:rtl/>
        </w:rPr>
        <w:tab/>
      </w:r>
      <w:r w:rsidR="00E872B4">
        <w:rPr>
          <w:rStyle w:val="default"/>
          <w:rFonts w:cs="FrankRuehl" w:hint="cs"/>
          <w:rtl/>
        </w:rPr>
        <w:t>(א)</w:t>
      </w:r>
      <w:r w:rsidR="00E872B4">
        <w:rPr>
          <w:rStyle w:val="default"/>
          <w:rFonts w:cs="FrankRuehl" w:hint="cs"/>
          <w:rtl/>
        </w:rPr>
        <w:tab/>
      </w:r>
      <w:r w:rsidR="00BF4914">
        <w:rPr>
          <w:rStyle w:val="default"/>
          <w:rFonts w:cs="FrankRuehl" w:hint="cs"/>
          <w:rtl/>
        </w:rPr>
        <w:t>בחדרי לימוד יחולו הוראות פרט (28) לתוספת הראשונה לתקנות מקום קיים לעניין מקומות ישיבה מיוחדים במקום להתקהלות; בחדר לימוד כאמור יוקצו שני מקומות ישיבה מיוחדים לפחות; במקום ישיבה מיוחד יתאפשר שימוש במשטח אופקי לכתיבה לאדם עם מוגבלות בניידות.</w:t>
      </w:r>
    </w:p>
    <w:p w:rsidR="00BF4914" w:rsidRDefault="00BF4914" w:rsidP="00BF49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ליד תלמיד עם מוגבלות המלווה באדם אחר יובטח מקום ישיבה נוסף למלווה.</w:t>
      </w:r>
    </w:p>
    <w:p w:rsidR="00BF4914" w:rsidRDefault="00BF4914" w:rsidP="00BF49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90862">
        <w:rPr>
          <w:rStyle w:val="default"/>
          <w:rFonts w:cs="FrankRuehl" w:hint="cs"/>
          <w:rtl/>
        </w:rPr>
        <w:t>במידת הצורך יובטח, באמצעות מרכז התמיכה, כי לתלמיד יובטח מקום ישיבה בקדמת מקום הלימוד, ככל האפשר; בחדרי הלימוד יוצב שלט ולפיו לאדם עם מוגבלות קיימת עדיפות לשבת במקומות שבקדמת מקום הלימוד.</w:t>
      </w:r>
    </w:p>
    <w:p w:rsidR="00990862" w:rsidRDefault="00990862" w:rsidP="00BF491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תלמיד עם מוגבלות המסתייע בחיית שירות יחולו ההוראות העוסקות בחיית שירות שבתקנות נגישות השירות, למעט אם קבע האחראי לקביעת התאמות כי נוכחות חיית השירות פוגעת באופן בלתי סביר בשירות; קבע כך האחראי לקביעת התאמות, הוא יקבע התאמה חלופית שתבטיח נגישות סבירה לתלמיד עם מוגבלות ויוקצה מיתקן שתוחזק בו חיית השירות במהלך מתן השירות.</w:t>
      </w:r>
    </w:p>
    <w:p w:rsidR="00262C30" w:rsidRDefault="00262C30" w:rsidP="007960E4">
      <w:pPr>
        <w:pStyle w:val="P00"/>
        <w:spacing w:before="72"/>
        <w:ind w:left="0" w:right="1134"/>
        <w:rPr>
          <w:rStyle w:val="default"/>
          <w:rFonts w:cs="FrankRuehl" w:hint="cs"/>
          <w:rtl/>
        </w:rPr>
      </w:pPr>
      <w:bookmarkStart w:id="11" w:name="Seif9"/>
      <w:bookmarkEnd w:id="11"/>
      <w:r>
        <w:rPr>
          <w:lang w:val="he-IL"/>
        </w:rPr>
        <w:pict>
          <v:rect id="_x0000_s1299" style="position:absolute;left:0;text-align:left;margin-left:464.5pt;margin-top:8.05pt;width:75.05pt;height:15.7pt;z-index:251658240" o:allowincell="f" filled="f" stroked="f" strokecolor="lime" strokeweight=".25pt">
            <v:textbox style="mso-next-textbox:#_x0000_s1299" inset="0,0,0,0">
              <w:txbxContent>
                <w:p w:rsidR="00BE774B" w:rsidRDefault="007960E4" w:rsidP="00262C30">
                  <w:pPr>
                    <w:spacing w:line="160" w:lineRule="exact"/>
                    <w:jc w:val="left"/>
                    <w:rPr>
                      <w:rFonts w:cs="Miriam" w:hint="cs"/>
                      <w:szCs w:val="18"/>
                      <w:rtl/>
                    </w:rPr>
                  </w:pPr>
                  <w:r>
                    <w:rPr>
                      <w:rFonts w:cs="Miriam" w:hint="cs"/>
                      <w:szCs w:val="18"/>
                      <w:rtl/>
                    </w:rPr>
                    <w:t>מדשאות</w:t>
                  </w:r>
                </w:p>
              </w:txbxContent>
            </v:textbox>
            <w10:anchorlock/>
          </v:rect>
        </w:pict>
      </w:r>
      <w:r w:rsidR="00CA28A7">
        <w:rPr>
          <w:rStyle w:val="big-number"/>
          <w:rFonts w:hint="cs"/>
          <w:rtl/>
        </w:rPr>
        <w:t>9</w:t>
      </w:r>
      <w:r>
        <w:rPr>
          <w:rStyle w:val="default"/>
          <w:rFonts w:cs="FrankRuehl"/>
          <w:rtl/>
        </w:rPr>
        <w:t>.</w:t>
      </w:r>
      <w:r>
        <w:rPr>
          <w:rStyle w:val="default"/>
          <w:rFonts w:cs="FrankRuehl"/>
          <w:rtl/>
        </w:rPr>
        <w:tab/>
      </w:r>
      <w:r w:rsidR="007960E4">
        <w:rPr>
          <w:rStyle w:val="default"/>
          <w:rFonts w:cs="FrankRuehl" w:hint="cs"/>
          <w:rtl/>
        </w:rPr>
        <w:t>במדשאה של מרכז לימוד שכלל הלומדים בו הוא 150 אנשים לפחות יחולו הוראות אלה</w:t>
      </w:r>
      <w:r w:rsidR="00720972">
        <w:rPr>
          <w:rStyle w:val="default"/>
          <w:rFonts w:cs="FrankRuehl" w:hint="cs"/>
          <w:rtl/>
        </w:rPr>
        <w:t>:</w:t>
      </w:r>
    </w:p>
    <w:p w:rsidR="007960E4" w:rsidRDefault="007960E4" w:rsidP="007960E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אל מדשאה המותרת לשימוש הציבור תוביל דרך נגישה לפי הוראות 2.1 לת"י 1918 חלק 2; הפרש הגובה בין מפגש הדרך הנגישה לתשתית המדשאה לא יעלה על 2 סנטימטרים; דרך נגישה במדשאה תבוצע באחד מאמצעים אלה: קטע מרוצף, מפולס עם הדשא, משטח דשא על תשתית מהודקת, קטע דשא מלאכותי, קטע ממשטח גומי ממוחזר, פתרון אחר המאפשר תנועה אל תוך המדשאה;</w:t>
      </w:r>
    </w:p>
    <w:p w:rsidR="007960E4" w:rsidRDefault="007960E4" w:rsidP="007960E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קיימת במדשאה או בצמוד אליה פינת ישיבה מוצלת, תהיה הפינה האמורה נגישה;</w:t>
      </w:r>
    </w:p>
    <w:p w:rsidR="007960E4" w:rsidRDefault="007960E4" w:rsidP="007960E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הוראות תקנה זו יחולו על 50% לפחות משטחי המדשאות של המוסד המיועדים לשימוש הציבור.</w:t>
      </w:r>
    </w:p>
    <w:p w:rsidR="00262C30" w:rsidRDefault="00262C30" w:rsidP="007960E4">
      <w:pPr>
        <w:pStyle w:val="P00"/>
        <w:spacing w:before="72"/>
        <w:ind w:left="0" w:right="1134"/>
        <w:rPr>
          <w:rStyle w:val="default"/>
          <w:rFonts w:cs="FrankRuehl" w:hint="cs"/>
          <w:rtl/>
        </w:rPr>
      </w:pPr>
      <w:bookmarkStart w:id="12" w:name="Seif10"/>
      <w:bookmarkEnd w:id="12"/>
      <w:r>
        <w:rPr>
          <w:lang w:val="he-IL"/>
        </w:rPr>
        <w:pict>
          <v:rect id="_x0000_s1300" style="position:absolute;left:0;text-align:left;margin-left:464.5pt;margin-top:8.05pt;width:75.05pt;height:9.15pt;z-index:251659264" o:allowincell="f" filled="f" stroked="f" strokecolor="lime" strokeweight=".25pt">
            <v:textbox style="mso-next-textbox:#_x0000_s1300" inset="0,0,0,0">
              <w:txbxContent>
                <w:p w:rsidR="00BE774B" w:rsidRDefault="007960E4" w:rsidP="00262C30">
                  <w:pPr>
                    <w:spacing w:line="160" w:lineRule="exact"/>
                    <w:jc w:val="left"/>
                    <w:rPr>
                      <w:rFonts w:cs="Miriam" w:hint="cs"/>
                      <w:szCs w:val="18"/>
                      <w:rtl/>
                    </w:rPr>
                  </w:pPr>
                  <w:r>
                    <w:rPr>
                      <w:rFonts w:cs="Miriam" w:hint="cs"/>
                      <w:szCs w:val="18"/>
                      <w:rtl/>
                    </w:rPr>
                    <w:t>סיורים</w:t>
                  </w:r>
                </w:p>
              </w:txbxContent>
            </v:textbox>
            <w10:anchorlock/>
          </v:rect>
        </w:pict>
      </w:r>
      <w:r>
        <w:rPr>
          <w:rStyle w:val="big-number"/>
          <w:rFonts w:hint="cs"/>
          <w:rtl/>
        </w:rPr>
        <w:t>10</w:t>
      </w:r>
      <w:r>
        <w:rPr>
          <w:rStyle w:val="default"/>
          <w:rFonts w:cs="FrankRuehl"/>
          <w:rtl/>
        </w:rPr>
        <w:t>.</w:t>
      </w:r>
      <w:r>
        <w:rPr>
          <w:rStyle w:val="default"/>
          <w:rFonts w:cs="FrankRuehl"/>
          <w:rtl/>
        </w:rPr>
        <w:tab/>
      </w:r>
      <w:r w:rsidR="00720972">
        <w:rPr>
          <w:rStyle w:val="default"/>
          <w:rFonts w:cs="FrankRuehl" w:hint="cs"/>
          <w:rtl/>
        </w:rPr>
        <w:t>(א)</w:t>
      </w:r>
      <w:r w:rsidR="00720972">
        <w:rPr>
          <w:rStyle w:val="default"/>
          <w:rFonts w:cs="FrankRuehl" w:hint="cs"/>
          <w:rtl/>
        </w:rPr>
        <w:tab/>
      </w:r>
      <w:r w:rsidR="007960E4">
        <w:rPr>
          <w:rStyle w:val="default"/>
          <w:rFonts w:cs="FrankRuehl" w:hint="cs"/>
          <w:rtl/>
        </w:rPr>
        <w:t>תלמיד שמשתתף בסיור במסגרת השירות זכאי, לפי בקשתו, להתאמות הנגישות המפורטות בתקנה זו, לפי העניין:</w:t>
      </w:r>
    </w:p>
    <w:p w:rsidR="007960E4" w:rsidRDefault="007960E4" w:rsidP="007960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מערכת עזר לשמיעה המתואמת לשירותי הדרכה, תמלול, או תרגום לשפת סימנים;</w:t>
      </w:r>
    </w:p>
    <w:p w:rsidR="007960E4" w:rsidRDefault="007960E4" w:rsidP="007960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תיאור קולי של הסיור, וככל האפשר באמצעות מישוש;</w:t>
      </w:r>
    </w:p>
    <w:p w:rsidR="007960E4" w:rsidRDefault="007960E4" w:rsidP="007960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הסעה בכלי רכב המותאם למוגבלותו של התלמיד, ככל שניתנת הסעה על ידי המוסד;</w:t>
      </w:r>
    </w:p>
    <w:p w:rsidR="007960E4" w:rsidRDefault="007960E4" w:rsidP="007960E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שימוש בלשון ובאופן המותאמים למוגבלותו של התלמיד;</w:t>
      </w:r>
    </w:p>
    <w:p w:rsidR="007960E4" w:rsidRDefault="007960E4" w:rsidP="007960E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מתן הסבר מראש על הצפוי להתרחש בסיור.</w:t>
      </w:r>
    </w:p>
    <w:p w:rsidR="007960E4" w:rsidRDefault="007960E4" w:rsidP="007960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הסיור</w:t>
      </w:r>
      <w:r w:rsidR="009F4064">
        <w:rPr>
          <w:rStyle w:val="default"/>
          <w:rFonts w:cs="FrankRuehl" w:hint="cs"/>
          <w:rtl/>
        </w:rPr>
        <w:t xml:space="preserve"> ייערך, ככל האפשר, במקומות נגישים לאנשים עם מוגבלות.</w:t>
      </w:r>
    </w:p>
    <w:p w:rsidR="009F4064" w:rsidRDefault="009F4064" w:rsidP="007960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נעזר התלמיד במלווה, יאפשר המוסד את השתתפותו של המלווה בסיור.</w:t>
      </w:r>
    </w:p>
    <w:p w:rsidR="009F4064" w:rsidRDefault="009F4064" w:rsidP="007960E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תלמיד המבקש לקבל את ההתאמות המפורטות בתקנה זו יידע את המוסד מראש על הצורך בהתאמת הסיור ויאשר את השתתפותו בסיור עד למועד שקבע המוסד לשם כך.</w:t>
      </w:r>
    </w:p>
    <w:p w:rsidR="002F33DE" w:rsidRPr="00CA28A7" w:rsidRDefault="002F33DE" w:rsidP="009F4064">
      <w:pPr>
        <w:pStyle w:val="medium2-header"/>
        <w:keepLines w:val="0"/>
        <w:spacing w:before="72"/>
        <w:ind w:left="0" w:right="1134"/>
        <w:rPr>
          <w:rFonts w:hint="cs"/>
          <w:noProof/>
          <w:rtl/>
        </w:rPr>
      </w:pPr>
      <w:bookmarkStart w:id="13" w:name="med3"/>
      <w:bookmarkEnd w:id="13"/>
      <w:r w:rsidRPr="00CA28A7">
        <w:rPr>
          <w:rFonts w:hint="cs"/>
          <w:noProof/>
          <w:rtl/>
        </w:rPr>
        <w:t xml:space="preserve">פרק </w:t>
      </w:r>
      <w:r>
        <w:rPr>
          <w:rFonts w:hint="cs"/>
          <w:noProof/>
          <w:rtl/>
        </w:rPr>
        <w:t xml:space="preserve">ד': </w:t>
      </w:r>
      <w:r w:rsidR="009F4064">
        <w:rPr>
          <w:rFonts w:hint="cs"/>
          <w:noProof/>
          <w:rtl/>
        </w:rPr>
        <w:t>התאמות נגישות אישיות</w:t>
      </w:r>
    </w:p>
    <w:p w:rsidR="00262C30" w:rsidRDefault="00262C30" w:rsidP="009D184D">
      <w:pPr>
        <w:pStyle w:val="P00"/>
        <w:spacing w:before="72"/>
        <w:ind w:left="0" w:right="1134"/>
        <w:rPr>
          <w:rStyle w:val="default"/>
          <w:rFonts w:cs="FrankRuehl" w:hint="cs"/>
          <w:rtl/>
        </w:rPr>
      </w:pPr>
      <w:bookmarkStart w:id="14" w:name="Seif11"/>
      <w:bookmarkEnd w:id="14"/>
      <w:r>
        <w:rPr>
          <w:lang w:val="he-IL"/>
        </w:rPr>
        <w:pict>
          <v:rect id="_x0000_s1301" style="position:absolute;left:0;text-align:left;margin-left:464.5pt;margin-top:8.05pt;width:75.05pt;height:22.05pt;z-index:251660288" o:allowincell="f" filled="f" stroked="f" strokecolor="lime" strokeweight=".25pt">
            <v:textbox style="mso-next-textbox:#_x0000_s1301" inset="0,0,0,0">
              <w:txbxContent>
                <w:p w:rsidR="00BE774B" w:rsidRDefault="009D184D" w:rsidP="00262C30">
                  <w:pPr>
                    <w:spacing w:line="160" w:lineRule="exact"/>
                    <w:jc w:val="left"/>
                    <w:rPr>
                      <w:rFonts w:cs="Miriam" w:hint="cs"/>
                      <w:szCs w:val="18"/>
                      <w:rtl/>
                    </w:rPr>
                  </w:pPr>
                  <w:r>
                    <w:rPr>
                      <w:rFonts w:cs="Miriam" w:hint="cs"/>
                      <w:szCs w:val="18"/>
                      <w:rtl/>
                    </w:rPr>
                    <w:t>אחראי לקביעת התאמות</w:t>
                  </w:r>
                </w:p>
              </w:txbxContent>
            </v:textbox>
            <w10:anchorlock/>
          </v:rect>
        </w:pict>
      </w:r>
      <w:r>
        <w:rPr>
          <w:rStyle w:val="big-number"/>
          <w:rFonts w:hint="cs"/>
          <w:rtl/>
        </w:rPr>
        <w:t>1</w:t>
      </w:r>
      <w:r w:rsidR="00B1518F">
        <w:rPr>
          <w:rStyle w:val="big-number"/>
          <w:rFonts w:hint="cs"/>
          <w:rtl/>
        </w:rPr>
        <w:t>1</w:t>
      </w:r>
      <w:r>
        <w:rPr>
          <w:rStyle w:val="default"/>
          <w:rFonts w:cs="FrankRuehl"/>
          <w:rtl/>
        </w:rPr>
        <w:t>.</w:t>
      </w:r>
      <w:r>
        <w:rPr>
          <w:rStyle w:val="default"/>
          <w:rFonts w:cs="FrankRuehl"/>
          <w:rtl/>
        </w:rPr>
        <w:tab/>
      </w:r>
      <w:r w:rsidR="009D184D">
        <w:rPr>
          <w:rStyle w:val="default"/>
          <w:rFonts w:cs="FrankRuehl" w:hint="cs"/>
          <w:rtl/>
        </w:rPr>
        <w:t>(א)</w:t>
      </w:r>
      <w:r w:rsidR="009D184D">
        <w:rPr>
          <w:rStyle w:val="default"/>
          <w:rFonts w:cs="FrankRuehl" w:hint="cs"/>
          <w:rtl/>
        </w:rPr>
        <w:tab/>
        <w:t>מוסד ימנה אדם מקרב עובדי המוסד שיקבע, בהתאם לאמור בתקנה 12, התאמות אישיות לתלמיד.</w:t>
      </w:r>
    </w:p>
    <w:p w:rsidR="009D184D" w:rsidRDefault="009D184D" w:rsidP="009D18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מוסד ימנה לאחראי התאמות, אדם מתאים מבחינת כישורים וככל האפשר יהיה האחראי אדם עם מוגבלות; ניתן למנות לאחראי מי שהוא עובד מרכז התמיכה.</w:t>
      </w:r>
    </w:p>
    <w:p w:rsidR="009D184D" w:rsidRDefault="009D184D" w:rsidP="009D18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בתקנה זו כדי למנוע מהמוסד למנות ועדה כאחראי התאמות.</w:t>
      </w:r>
    </w:p>
    <w:p w:rsidR="00262C30" w:rsidRDefault="00262C30" w:rsidP="009D184D">
      <w:pPr>
        <w:pStyle w:val="P00"/>
        <w:spacing w:before="72"/>
        <w:ind w:left="0" w:right="1134"/>
        <w:rPr>
          <w:rStyle w:val="default"/>
          <w:rFonts w:cs="FrankRuehl" w:hint="cs"/>
          <w:rtl/>
        </w:rPr>
      </w:pPr>
      <w:bookmarkStart w:id="15" w:name="Seif12"/>
      <w:bookmarkEnd w:id="15"/>
      <w:r>
        <w:rPr>
          <w:lang w:val="he-IL"/>
        </w:rPr>
        <w:pict>
          <v:rect id="_x0000_s1302" style="position:absolute;left:0;text-align:left;margin-left:464.5pt;margin-top:8.05pt;width:75.05pt;height:21.3pt;z-index:251661312" o:allowincell="f" filled="f" stroked="f" strokecolor="lime" strokeweight=".25pt">
            <v:textbox style="mso-next-textbox:#_x0000_s1302" inset="0,0,0,0">
              <w:txbxContent>
                <w:p w:rsidR="00BE774B" w:rsidRDefault="009D184D" w:rsidP="00262C30">
                  <w:pPr>
                    <w:spacing w:line="160" w:lineRule="exact"/>
                    <w:jc w:val="left"/>
                    <w:rPr>
                      <w:rFonts w:cs="Miriam" w:hint="cs"/>
                      <w:szCs w:val="18"/>
                      <w:rtl/>
                    </w:rPr>
                  </w:pPr>
                  <w:r>
                    <w:rPr>
                      <w:rFonts w:cs="Miriam" w:hint="cs"/>
                      <w:szCs w:val="18"/>
                      <w:rtl/>
                    </w:rPr>
                    <w:t>קביעת התאמות נגישות אישיות</w:t>
                  </w:r>
                </w:p>
              </w:txbxContent>
            </v:textbox>
            <w10:anchorlock/>
          </v:rect>
        </w:pict>
      </w:r>
      <w:r>
        <w:rPr>
          <w:rStyle w:val="big-number"/>
          <w:rFonts w:hint="cs"/>
          <w:rtl/>
        </w:rPr>
        <w:t>1</w:t>
      </w:r>
      <w:r w:rsidR="00C1513D">
        <w:rPr>
          <w:rStyle w:val="big-number"/>
          <w:rFonts w:hint="cs"/>
          <w:rtl/>
        </w:rPr>
        <w:t>2</w:t>
      </w:r>
      <w:r>
        <w:rPr>
          <w:rStyle w:val="default"/>
          <w:rFonts w:cs="FrankRuehl"/>
          <w:rtl/>
        </w:rPr>
        <w:t>.</w:t>
      </w:r>
      <w:r>
        <w:rPr>
          <w:rStyle w:val="default"/>
          <w:rFonts w:cs="FrankRuehl"/>
          <w:rtl/>
        </w:rPr>
        <w:tab/>
      </w:r>
      <w:r w:rsidR="009D184D">
        <w:rPr>
          <w:rStyle w:val="default"/>
          <w:rFonts w:cs="FrankRuehl" w:hint="cs"/>
          <w:rtl/>
        </w:rPr>
        <w:t>(א)</w:t>
      </w:r>
      <w:r w:rsidR="009D184D">
        <w:rPr>
          <w:rStyle w:val="default"/>
          <w:rFonts w:cs="FrankRuehl" w:hint="cs"/>
          <w:rtl/>
        </w:rPr>
        <w:tab/>
        <w:t xml:space="preserve">תלמיד המבקש לקבל התאמת נגישות אישית בלימודים ובהיבחנות לרבות הנגשת חומר הלימודים לפי פרק זה (להלן </w:t>
      </w:r>
      <w:r w:rsidR="009D184D">
        <w:rPr>
          <w:rStyle w:val="default"/>
          <w:rFonts w:cs="FrankRuehl"/>
          <w:rtl/>
        </w:rPr>
        <w:t>–</w:t>
      </w:r>
      <w:r w:rsidR="009D184D">
        <w:rPr>
          <w:rStyle w:val="default"/>
          <w:rFonts w:cs="FrankRuehl" w:hint="cs"/>
          <w:rtl/>
        </w:rPr>
        <w:t xml:space="preserve"> המבקש) יידע את המוסד בדבר הצורך בהתאמות נגישות אישיות וימלא בקשה לאחראי לקביעת התאמות לפי טופס של המוסד, ובלבד שבטופס כאמור יצוין שתלמיד זכאי לסיוע במילוי הטופס במרכז התמיכה; לבקשה יצרף המבקש תיעוד מעודכן בדבר היותו אדם עם מוגבלות וכן לגבי צרכיו למתן ההתאמות; כמו כן יצרף המבקש מסמכים נוספים הנוגעים לעניין, בהתאם לבקשת האחראי לקביעת התאמות ובהתאם לסדרי נוהל שיקבע המוסד לעניין זה; המבקש רשאי לצרף המלצות על התאמת נגישות מסוימת שנתן מורשה נגישות או כל מסמך אחר הנוגע לבקשה</w:t>
      </w:r>
      <w:r w:rsidR="00C1513D">
        <w:rPr>
          <w:rStyle w:val="default"/>
          <w:rFonts w:cs="FrankRuehl" w:hint="cs"/>
          <w:rtl/>
        </w:rPr>
        <w:t>.</w:t>
      </w:r>
    </w:p>
    <w:p w:rsidR="009D184D" w:rsidRDefault="009D184D" w:rsidP="009D18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A68A1">
        <w:rPr>
          <w:rStyle w:val="default"/>
          <w:rFonts w:cs="FrankRuehl" w:hint="cs"/>
          <w:rtl/>
        </w:rPr>
        <w:t>האחראי לקביעת התאמות רשאי להתייעץ עם מרכז התמיכה או מומחה אחר וכן עם כל גורם אחר.</w:t>
      </w:r>
    </w:p>
    <w:p w:rsidR="007A68A1" w:rsidRDefault="007A68A1" w:rsidP="009D18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סבר האחראי לקביעת התאמות שיש לדחות את הבקשה, ישמע את התלמיד, לפני קבלת ההחלטה, והתלמיד רשאי לבוא עם מומחה מטעמו, במועד שקבע האחראי לקביעת התאמות.</w:t>
      </w:r>
    </w:p>
    <w:p w:rsidR="007A68A1" w:rsidRDefault="007A68A1" w:rsidP="009D184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האחראי לקביעת התאמות תהיה מנומקת ובכתב, ובכלל זה התייחסות לדחיית המלצות שהביא התלמיד, ותינתן בתוך 30 ימים מיום הגשת הבקשה; המוסד יידע את המבקש בכתב בדבר החלטת האחראי לקביעת התאמות ונימוקיה לא יאוחר מ-10 ימים מיום קבלתה.</w:t>
      </w:r>
    </w:p>
    <w:p w:rsidR="007A68A1" w:rsidRDefault="007A68A1" w:rsidP="009D184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C3DAA">
        <w:rPr>
          <w:rStyle w:val="default"/>
          <w:rFonts w:cs="FrankRuehl" w:hint="cs"/>
          <w:rtl/>
        </w:rPr>
        <w:t>התאמה תינתן סמוך, ככל האפשר, למועד ההחלטה לתתה ולא יאוחר מ-45 ימים מיום ההחלטה.</w:t>
      </w:r>
    </w:p>
    <w:p w:rsidR="00AC3DAA" w:rsidRDefault="00AC3DAA" w:rsidP="009D184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התאמה לפי תקנה זו תינתן כך שלא ייפגע מהות השירות, ואם נדחתה בקשה להתאמות נגישות בנימוק של פגיעה במהות השירות, יפרט האחראי מהי מהות השירות שנפגעת וכיצד היא נפגעת מההתאמה המבוקשת.</w:t>
      </w:r>
    </w:p>
    <w:p w:rsidR="00262C30" w:rsidRDefault="00262C30" w:rsidP="00AC3DAA">
      <w:pPr>
        <w:pStyle w:val="P00"/>
        <w:spacing w:before="72"/>
        <w:ind w:left="0" w:right="1134"/>
        <w:rPr>
          <w:rStyle w:val="default"/>
          <w:rFonts w:cs="FrankRuehl" w:hint="cs"/>
          <w:rtl/>
        </w:rPr>
      </w:pPr>
      <w:bookmarkStart w:id="16" w:name="Seif13"/>
      <w:bookmarkEnd w:id="16"/>
      <w:r>
        <w:rPr>
          <w:lang w:val="he-IL"/>
        </w:rPr>
        <w:pict>
          <v:rect id="_x0000_s1303" style="position:absolute;left:0;text-align:left;margin-left:464.5pt;margin-top:8.05pt;width:75.05pt;height:12.8pt;z-index:251662336" o:allowincell="f" filled="f" stroked="f" strokecolor="lime" strokeweight=".25pt">
            <v:textbox style="mso-next-textbox:#_x0000_s1303" inset="0,0,0,0">
              <w:txbxContent>
                <w:p w:rsidR="00BE774B" w:rsidRDefault="00AC3DAA" w:rsidP="00262C30">
                  <w:pPr>
                    <w:spacing w:line="160" w:lineRule="exact"/>
                    <w:jc w:val="left"/>
                    <w:rPr>
                      <w:rFonts w:cs="Miriam" w:hint="cs"/>
                      <w:szCs w:val="18"/>
                      <w:rtl/>
                    </w:rPr>
                  </w:pPr>
                  <w:r>
                    <w:rPr>
                      <w:rFonts w:cs="Miriam" w:hint="cs"/>
                      <w:szCs w:val="18"/>
                      <w:rtl/>
                    </w:rPr>
                    <w:t>ערר</w:t>
                  </w:r>
                </w:p>
              </w:txbxContent>
            </v:textbox>
            <w10:anchorlock/>
          </v:rect>
        </w:pict>
      </w:r>
      <w:r>
        <w:rPr>
          <w:rStyle w:val="big-number"/>
          <w:rFonts w:hint="cs"/>
          <w:rtl/>
        </w:rPr>
        <w:t>1</w:t>
      </w:r>
      <w:r w:rsidR="00C1513D">
        <w:rPr>
          <w:rStyle w:val="big-number"/>
          <w:rFonts w:hint="cs"/>
          <w:rtl/>
        </w:rPr>
        <w:t>3</w:t>
      </w:r>
      <w:r>
        <w:rPr>
          <w:rStyle w:val="default"/>
          <w:rFonts w:cs="FrankRuehl"/>
          <w:rtl/>
        </w:rPr>
        <w:t>.</w:t>
      </w:r>
      <w:r>
        <w:rPr>
          <w:rStyle w:val="default"/>
          <w:rFonts w:cs="FrankRuehl"/>
          <w:rtl/>
        </w:rPr>
        <w:tab/>
      </w:r>
      <w:r w:rsidR="00DA18B6">
        <w:rPr>
          <w:rStyle w:val="default"/>
          <w:rFonts w:cs="FrankRuehl" w:hint="cs"/>
          <w:rtl/>
        </w:rPr>
        <w:t>(א)</w:t>
      </w:r>
      <w:r w:rsidR="00DA18B6">
        <w:rPr>
          <w:rStyle w:val="default"/>
          <w:rFonts w:cs="FrankRuehl" w:hint="cs"/>
          <w:rtl/>
        </w:rPr>
        <w:tab/>
      </w:r>
      <w:r w:rsidR="00AC3DAA">
        <w:rPr>
          <w:rStyle w:val="default"/>
          <w:rFonts w:cs="FrankRuehl" w:hint="cs"/>
          <w:rtl/>
        </w:rPr>
        <w:t>על החלטת האחראי לקביעת ההתאמות רשאי המבקש לערור לפני ועדת ערר, בתוך 15 ימים מיום שנוגע לו עליה</w:t>
      </w:r>
      <w:r w:rsidR="00EA0773">
        <w:rPr>
          <w:rStyle w:val="default"/>
          <w:rFonts w:cs="FrankRuehl" w:hint="cs"/>
          <w:rtl/>
        </w:rPr>
        <w:t>.</w:t>
      </w:r>
    </w:p>
    <w:p w:rsidR="00AC3DAA" w:rsidRDefault="00AC3DAA" w:rsidP="00AC3D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בוועדת ערר יהיו חברים נציג החוג הנוגע בדבר או נציג אחר של המוסד, נציג דקנאט הסטודנטים או בעל תפקיד דומה אחר במוסד ונציג מרכז התמיכה, ואולם האחראי על קביעת התאמות לא ישב כחבר בוועדת ערר; ככל האפשר, אחד מחברי ועדת הערר יהיה אדם עם מוגבלות.</w:t>
      </w:r>
    </w:p>
    <w:p w:rsidR="00AC3DAA" w:rsidRDefault="00AC3DAA" w:rsidP="00AC3DA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66653">
        <w:rPr>
          <w:rStyle w:val="default"/>
          <w:rFonts w:cs="FrankRuehl" w:hint="cs"/>
          <w:rtl/>
        </w:rPr>
        <w:t>מבקש המעוניין להופיע לפני הוועדה יגיש על כך בקשה בכתב ויופיע לפניה במועד ובמקום שתקבע הוועדה, והמבקש רשאי לבוא עם אדם מטעמו.</w:t>
      </w:r>
    </w:p>
    <w:p w:rsidR="00966653" w:rsidRDefault="00966653" w:rsidP="00AC3D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ועדת הערר תהיה מנומקת ובכתב ותינתן למבקש לא יאוחר מ-30 ימים מיום הגשת הערר.</w:t>
      </w:r>
    </w:p>
    <w:p w:rsidR="00966653" w:rsidRPr="00CA28A7" w:rsidRDefault="00966653" w:rsidP="00966653">
      <w:pPr>
        <w:pStyle w:val="medium2-header"/>
        <w:keepLines w:val="0"/>
        <w:spacing w:before="72"/>
        <w:ind w:left="0" w:right="1134"/>
        <w:rPr>
          <w:rFonts w:hint="cs"/>
          <w:noProof/>
          <w:rtl/>
        </w:rPr>
      </w:pPr>
      <w:bookmarkStart w:id="17" w:name="med4"/>
      <w:bookmarkEnd w:id="17"/>
      <w:r w:rsidRPr="00CA28A7">
        <w:rPr>
          <w:rFonts w:hint="cs"/>
          <w:noProof/>
          <w:rtl/>
        </w:rPr>
        <w:t xml:space="preserve">פרק </w:t>
      </w:r>
      <w:r>
        <w:rPr>
          <w:rFonts w:hint="cs"/>
          <w:noProof/>
          <w:rtl/>
        </w:rPr>
        <w:t>ז': שונות</w:t>
      </w:r>
    </w:p>
    <w:p w:rsidR="00262C30" w:rsidRDefault="00262C30" w:rsidP="00966653">
      <w:pPr>
        <w:pStyle w:val="P00"/>
        <w:spacing w:before="72"/>
        <w:ind w:left="0" w:right="1134"/>
        <w:rPr>
          <w:rStyle w:val="default"/>
          <w:rFonts w:cs="FrankRuehl" w:hint="cs"/>
          <w:rtl/>
        </w:rPr>
      </w:pPr>
      <w:bookmarkStart w:id="18" w:name="Seif14"/>
      <w:bookmarkEnd w:id="18"/>
      <w:r>
        <w:rPr>
          <w:lang w:val="he-IL"/>
        </w:rPr>
        <w:pict>
          <v:rect id="_x0000_s1304" style="position:absolute;left:0;text-align:left;margin-left:464.5pt;margin-top:8.05pt;width:75.05pt;height:12.95pt;z-index:251663360" o:allowincell="f" filled="f" stroked="f" strokecolor="lime" strokeweight=".25pt">
            <v:textbox style="mso-next-textbox:#_x0000_s1304" inset="0,0,0,0">
              <w:txbxContent>
                <w:p w:rsidR="00BE774B" w:rsidRDefault="00966653" w:rsidP="00262C30">
                  <w:pPr>
                    <w:spacing w:line="160" w:lineRule="exact"/>
                    <w:jc w:val="left"/>
                    <w:rPr>
                      <w:rFonts w:cs="Miriam" w:hint="cs"/>
                      <w:szCs w:val="18"/>
                      <w:rtl/>
                    </w:rPr>
                  </w:pPr>
                  <w:r>
                    <w:rPr>
                      <w:rFonts w:cs="Miriam" w:hint="cs"/>
                      <w:szCs w:val="18"/>
                      <w:rtl/>
                    </w:rPr>
                    <w:t>סודיות</w:t>
                  </w:r>
                </w:p>
              </w:txbxContent>
            </v:textbox>
            <w10:anchorlock/>
          </v:rect>
        </w:pict>
      </w:r>
      <w:r>
        <w:rPr>
          <w:rStyle w:val="big-number"/>
          <w:rFonts w:hint="cs"/>
          <w:rtl/>
        </w:rPr>
        <w:t>1</w:t>
      </w:r>
      <w:r w:rsidR="00DA18B6">
        <w:rPr>
          <w:rStyle w:val="big-number"/>
          <w:rFonts w:hint="cs"/>
          <w:rtl/>
        </w:rPr>
        <w:t>4</w:t>
      </w:r>
      <w:r>
        <w:rPr>
          <w:rStyle w:val="default"/>
          <w:rFonts w:cs="FrankRuehl"/>
          <w:rtl/>
        </w:rPr>
        <w:t>.</w:t>
      </w:r>
      <w:r>
        <w:rPr>
          <w:rStyle w:val="default"/>
          <w:rFonts w:cs="FrankRuehl"/>
          <w:rtl/>
        </w:rPr>
        <w:tab/>
      </w:r>
      <w:r w:rsidR="00966653">
        <w:rPr>
          <w:rStyle w:val="default"/>
          <w:rFonts w:cs="FrankRuehl" w:hint="cs"/>
          <w:rtl/>
        </w:rPr>
        <w:t>מי שהגיע לידיו מידע על אדם לפי תקנות אלה, ישמרנו בסוד, לא יגלה אותו לאחר ולא יעשה בו כל שימוש, אלא לפי הוראות תקנות אלה או על פי דין</w:t>
      </w:r>
      <w:r w:rsidR="00DA18B6">
        <w:rPr>
          <w:rStyle w:val="default"/>
          <w:rFonts w:cs="FrankRuehl" w:hint="cs"/>
          <w:rtl/>
        </w:rPr>
        <w:t>.</w:t>
      </w:r>
    </w:p>
    <w:p w:rsidR="00262C30" w:rsidRDefault="00262C30" w:rsidP="00966653">
      <w:pPr>
        <w:pStyle w:val="P00"/>
        <w:spacing w:before="72"/>
        <w:ind w:left="0" w:right="1134"/>
        <w:rPr>
          <w:rStyle w:val="default"/>
          <w:rFonts w:cs="FrankRuehl" w:hint="cs"/>
          <w:rtl/>
        </w:rPr>
      </w:pPr>
      <w:bookmarkStart w:id="19" w:name="Seif15"/>
      <w:bookmarkEnd w:id="19"/>
      <w:r>
        <w:rPr>
          <w:lang w:val="he-IL"/>
        </w:rPr>
        <w:pict>
          <v:rect id="_x0000_s1305" style="position:absolute;left:0;text-align:left;margin-left:464.5pt;margin-top:8.05pt;width:75.05pt;height:13.65pt;z-index:251664384" o:allowincell="f" filled="f" stroked="f" strokecolor="lime" strokeweight=".25pt">
            <v:textbox style="mso-next-textbox:#_x0000_s1305" inset="0,0,0,0">
              <w:txbxContent>
                <w:p w:rsidR="00BE774B" w:rsidRDefault="00966653" w:rsidP="00262C30">
                  <w:pPr>
                    <w:spacing w:line="160" w:lineRule="exact"/>
                    <w:jc w:val="left"/>
                    <w:rPr>
                      <w:rFonts w:cs="Miriam" w:hint="cs"/>
                      <w:szCs w:val="18"/>
                      <w:rtl/>
                    </w:rPr>
                  </w:pPr>
                  <w:r>
                    <w:rPr>
                      <w:rFonts w:cs="Miriam" w:hint="cs"/>
                      <w:szCs w:val="18"/>
                      <w:rtl/>
                    </w:rPr>
                    <w:t>שמירת הוראות</w:t>
                  </w:r>
                </w:p>
              </w:txbxContent>
            </v:textbox>
            <w10:anchorlock/>
          </v:rect>
        </w:pict>
      </w:r>
      <w:r>
        <w:rPr>
          <w:rStyle w:val="big-number"/>
          <w:rFonts w:hint="cs"/>
          <w:rtl/>
        </w:rPr>
        <w:t>1</w:t>
      </w:r>
      <w:r w:rsidR="00DA18B6">
        <w:rPr>
          <w:rStyle w:val="big-number"/>
          <w:rFonts w:hint="cs"/>
          <w:rtl/>
        </w:rPr>
        <w:t>5</w:t>
      </w:r>
      <w:r>
        <w:rPr>
          <w:rStyle w:val="default"/>
          <w:rFonts w:cs="FrankRuehl"/>
          <w:rtl/>
        </w:rPr>
        <w:t>.</w:t>
      </w:r>
      <w:r>
        <w:rPr>
          <w:rStyle w:val="default"/>
          <w:rFonts w:cs="FrankRuehl"/>
          <w:rtl/>
        </w:rPr>
        <w:tab/>
      </w:r>
      <w:r w:rsidR="00966653">
        <w:rPr>
          <w:rStyle w:val="default"/>
          <w:rFonts w:cs="FrankRuehl" w:hint="cs"/>
          <w:rtl/>
        </w:rPr>
        <w:t>הוראות תקנות אלה באות להוסיף על שירותים הניתנים על פי כל דין, וכן נוהג או הסכם שהמוסד אינו צד לו, ואין בהן כדי לגרוע משירותים הניתנים כאמור</w:t>
      </w:r>
      <w:r w:rsidR="003F7C42">
        <w:rPr>
          <w:rStyle w:val="default"/>
          <w:rFonts w:cs="FrankRuehl" w:hint="cs"/>
          <w:rtl/>
        </w:rPr>
        <w:t>.</w:t>
      </w:r>
    </w:p>
    <w:p w:rsidR="00852F42" w:rsidRDefault="00852F42" w:rsidP="003B1E42">
      <w:pPr>
        <w:pStyle w:val="P00"/>
        <w:spacing w:before="72"/>
        <w:ind w:left="0" w:right="1134"/>
        <w:rPr>
          <w:rStyle w:val="default"/>
          <w:rFonts w:cs="FrankRuehl" w:hint="cs"/>
          <w:rtl/>
        </w:rPr>
      </w:pPr>
      <w:bookmarkStart w:id="20" w:name="Seif16"/>
      <w:bookmarkEnd w:id="20"/>
      <w:r>
        <w:rPr>
          <w:lang w:val="he-IL"/>
        </w:rPr>
        <w:pict>
          <v:rect id="_x0000_s1362" style="position:absolute;left:0;text-align:left;margin-left:464.5pt;margin-top:8.05pt;width:75.05pt;height:14.3pt;z-index:251665408" o:allowincell="f" filled="f" stroked="f" strokecolor="lime" strokeweight=".25pt">
            <v:textbox style="mso-next-textbox:#_x0000_s1362" inset="0,0,0,0">
              <w:txbxContent>
                <w:p w:rsidR="00852F42" w:rsidRDefault="003B1E42" w:rsidP="00852F42">
                  <w:pPr>
                    <w:spacing w:line="160" w:lineRule="exact"/>
                    <w:jc w:val="left"/>
                    <w:rPr>
                      <w:rFonts w:cs="Miriam" w:hint="cs"/>
                      <w:szCs w:val="18"/>
                      <w:rtl/>
                    </w:rPr>
                  </w:pPr>
                  <w:r>
                    <w:rPr>
                      <w:rFonts w:cs="Miriam" w:hint="cs"/>
                      <w:szCs w:val="18"/>
                      <w:rtl/>
                    </w:rPr>
                    <w:t>החלה</w:t>
                  </w:r>
                </w:p>
              </w:txbxContent>
            </v:textbox>
            <w10:anchorlock/>
          </v:rect>
        </w:pict>
      </w:r>
      <w:r>
        <w:rPr>
          <w:rStyle w:val="big-number"/>
          <w:rFonts w:hint="cs"/>
          <w:rtl/>
        </w:rPr>
        <w:t>1</w:t>
      </w:r>
      <w:r w:rsidR="00966653">
        <w:rPr>
          <w:rStyle w:val="big-number"/>
          <w:rFonts w:hint="cs"/>
          <w:rtl/>
        </w:rPr>
        <w:t>6</w:t>
      </w:r>
      <w:r>
        <w:rPr>
          <w:rStyle w:val="default"/>
          <w:rFonts w:cs="FrankRuehl"/>
          <w:rtl/>
        </w:rPr>
        <w:t>.</w:t>
      </w:r>
      <w:r>
        <w:rPr>
          <w:rStyle w:val="default"/>
          <w:rFonts w:cs="FrankRuehl"/>
          <w:rtl/>
        </w:rPr>
        <w:tab/>
      </w:r>
      <w:r w:rsidR="003B1E42">
        <w:rPr>
          <w:rStyle w:val="default"/>
          <w:rFonts w:cs="FrankRuehl" w:hint="cs"/>
          <w:rtl/>
        </w:rPr>
        <w:t>הוראות תקנות אלה יוחלו בהדרגה לפי הוראות סעיף 19לא(א) לחוק</w:t>
      </w:r>
      <w:r>
        <w:rPr>
          <w:rStyle w:val="default"/>
          <w:rFonts w:cs="FrankRuehl" w:hint="cs"/>
          <w:rtl/>
        </w:rPr>
        <w:t>.</w:t>
      </w:r>
    </w:p>
    <w:p w:rsidR="001153D7" w:rsidRDefault="001153D7">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3B1E42" w:rsidP="003B1E4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ג' באלול</w:t>
      </w:r>
      <w:r w:rsidR="00594DDC">
        <w:rPr>
          <w:rFonts w:hint="cs"/>
          <w:rtl/>
        </w:rPr>
        <w:t xml:space="preserve"> התשע"</w:t>
      </w:r>
      <w:r w:rsidR="00A83E45">
        <w:rPr>
          <w:rFonts w:hint="cs"/>
          <w:rtl/>
        </w:rPr>
        <w:t>ו</w:t>
      </w:r>
      <w:r w:rsidR="00594DDC">
        <w:rPr>
          <w:rFonts w:hint="cs"/>
          <w:rtl/>
        </w:rPr>
        <w:t xml:space="preserve"> (</w:t>
      </w:r>
      <w:r>
        <w:rPr>
          <w:rFonts w:hint="cs"/>
          <w:rtl/>
        </w:rPr>
        <w:t>7 בספטמבר</w:t>
      </w:r>
      <w:r w:rsidR="00A83E45">
        <w:rPr>
          <w:rFonts w:hint="cs"/>
          <w:rtl/>
        </w:rPr>
        <w:t xml:space="preserve"> 2016</w:t>
      </w:r>
      <w:r w:rsidR="001153D7">
        <w:rPr>
          <w:rFonts w:hint="cs"/>
          <w:rtl/>
        </w:rPr>
        <w:t>)</w:t>
      </w:r>
      <w:r w:rsidR="001153D7">
        <w:rPr>
          <w:rFonts w:hint="cs"/>
          <w:rtl/>
        </w:rPr>
        <w:tab/>
      </w:r>
      <w:r>
        <w:rPr>
          <w:rFonts w:hint="cs"/>
          <w:rtl/>
        </w:rPr>
        <w:t>נפתלי בנט</w:t>
      </w:r>
    </w:p>
    <w:p w:rsidR="001153D7" w:rsidRDefault="001153D7" w:rsidP="003B1E42">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415BC">
        <w:rPr>
          <w:rFonts w:hint="cs"/>
          <w:sz w:val="22"/>
          <w:szCs w:val="22"/>
          <w:rtl/>
        </w:rPr>
        <w:t xml:space="preserve">שר </w:t>
      </w:r>
      <w:r w:rsidR="003B1E42">
        <w:rPr>
          <w:rFonts w:hint="cs"/>
          <w:sz w:val="22"/>
          <w:szCs w:val="22"/>
          <w:rtl/>
        </w:rPr>
        <w:t>החינוך</w:t>
      </w:r>
    </w:p>
    <w:p w:rsidR="00852F42" w:rsidRDefault="00852F42">
      <w:pPr>
        <w:pStyle w:val="P00"/>
        <w:spacing w:before="72"/>
        <w:ind w:left="0" w:right="1134"/>
        <w:rPr>
          <w:rFonts w:hint="cs"/>
          <w:rtl/>
        </w:rPr>
      </w:pPr>
    </w:p>
    <w:p w:rsidR="009C7EF2" w:rsidRDefault="009C7EF2">
      <w:pPr>
        <w:pStyle w:val="P00"/>
        <w:spacing w:before="72"/>
        <w:ind w:left="0" w:right="1134"/>
        <w:rPr>
          <w:rtl/>
        </w:rPr>
      </w:pPr>
    </w:p>
    <w:p w:rsidR="00DA6334" w:rsidRDefault="00DA6334">
      <w:pPr>
        <w:pStyle w:val="P00"/>
        <w:spacing w:before="72"/>
        <w:ind w:left="0" w:right="1134"/>
        <w:rPr>
          <w:rtl/>
        </w:rPr>
      </w:pPr>
    </w:p>
    <w:p w:rsidR="00DA6334" w:rsidRDefault="00DA6334">
      <w:pPr>
        <w:pStyle w:val="P00"/>
        <w:spacing w:before="72"/>
        <w:ind w:left="0" w:right="1134"/>
        <w:rPr>
          <w:rtl/>
        </w:rPr>
      </w:pPr>
    </w:p>
    <w:p w:rsidR="00DA6334" w:rsidRDefault="00DA6334" w:rsidP="00DA6334">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9C7EF2" w:rsidRPr="00DA6334" w:rsidRDefault="009C7EF2" w:rsidP="00DA6334">
      <w:pPr>
        <w:pStyle w:val="P00"/>
        <w:spacing w:before="72"/>
        <w:ind w:left="0" w:right="1134"/>
        <w:jc w:val="center"/>
        <w:rPr>
          <w:rFonts w:cs="David"/>
          <w:color w:val="0000FF"/>
          <w:szCs w:val="24"/>
          <w:u w:val="single"/>
          <w:rtl/>
        </w:rPr>
      </w:pPr>
    </w:p>
    <w:sectPr w:rsidR="009C7EF2" w:rsidRPr="00DA6334">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0BAA" w:rsidRDefault="00B60BAA" w:rsidP="001153D7">
      <w:pPr>
        <w:pStyle w:val="P00"/>
      </w:pPr>
      <w:r>
        <w:separator/>
      </w:r>
    </w:p>
  </w:endnote>
  <w:endnote w:type="continuationSeparator" w:id="0">
    <w:p w:rsidR="00B60BAA" w:rsidRDefault="00B60BA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E774B" w:rsidRDefault="00BE77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774B" w:rsidRDefault="00BE77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Z:\000-law\yael\2014\2014-12-16\501_148.doc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A6334">
      <w:rPr>
        <w:rFonts w:hAnsi="FrankRuehl"/>
        <w:noProof/>
        <w:sz w:val="24"/>
        <w:szCs w:val="24"/>
        <w:rtl/>
      </w:rPr>
      <w:t>6</w:t>
    </w:r>
    <w:r>
      <w:rPr>
        <w:rFonts w:hAnsi="FrankRuehl"/>
        <w:sz w:val="24"/>
        <w:szCs w:val="24"/>
        <w:rtl/>
      </w:rPr>
      <w:fldChar w:fldCharType="end"/>
    </w:r>
  </w:p>
  <w:p w:rsidR="00BE774B" w:rsidRDefault="00BE77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774B" w:rsidRDefault="00BE77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Z:\000-law\yael\2014\2014-12-16\501_148.doc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0BAA" w:rsidRDefault="00B60BAA">
      <w:pPr>
        <w:spacing w:before="60" w:line="240" w:lineRule="auto"/>
        <w:ind w:right="1134"/>
      </w:pPr>
      <w:r>
        <w:separator/>
      </w:r>
    </w:p>
  </w:footnote>
  <w:footnote w:type="continuationSeparator" w:id="0">
    <w:p w:rsidR="00B60BAA" w:rsidRDefault="00B60BAA">
      <w:r>
        <w:separator/>
      </w:r>
    </w:p>
  </w:footnote>
  <w:footnote w:id="1">
    <w:p w:rsidR="003C1C00" w:rsidRDefault="00BE774B" w:rsidP="003C1C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3C1C00">
          <w:rPr>
            <w:rStyle w:val="Hyperlink"/>
            <w:rFonts w:hint="cs"/>
            <w:sz w:val="20"/>
            <w:rtl/>
          </w:rPr>
          <w:t>ק"ת תשע"</w:t>
        </w:r>
        <w:r w:rsidR="00E813C5" w:rsidRPr="003C1C00">
          <w:rPr>
            <w:rStyle w:val="Hyperlink"/>
            <w:rFonts w:hint="cs"/>
            <w:sz w:val="20"/>
            <w:rtl/>
          </w:rPr>
          <w:t>ז</w:t>
        </w:r>
        <w:r w:rsidRPr="003C1C00">
          <w:rPr>
            <w:rStyle w:val="Hyperlink"/>
            <w:rFonts w:hint="cs"/>
            <w:sz w:val="20"/>
            <w:rtl/>
          </w:rPr>
          <w:t xml:space="preserve"> מס' </w:t>
        </w:r>
        <w:r w:rsidR="00E813C5" w:rsidRPr="003C1C00">
          <w:rPr>
            <w:rStyle w:val="Hyperlink"/>
            <w:rFonts w:hint="cs"/>
            <w:sz w:val="20"/>
            <w:rtl/>
          </w:rPr>
          <w:t>7727</w:t>
        </w:r>
      </w:hyperlink>
      <w:r>
        <w:rPr>
          <w:rFonts w:hint="cs"/>
          <w:sz w:val="20"/>
          <w:rtl/>
        </w:rPr>
        <w:t xml:space="preserve"> מיום </w:t>
      </w:r>
      <w:r w:rsidR="00E813C5">
        <w:rPr>
          <w:rFonts w:hint="cs"/>
          <w:sz w:val="20"/>
          <w:rtl/>
        </w:rPr>
        <w:t>14.11</w:t>
      </w:r>
      <w:r>
        <w:rPr>
          <w:rFonts w:hint="cs"/>
          <w:sz w:val="20"/>
          <w:rtl/>
        </w:rPr>
        <w:t xml:space="preserve">.2016 עמ' </w:t>
      </w:r>
      <w:r w:rsidR="00E813C5">
        <w:rPr>
          <w:rFonts w:hint="cs"/>
          <w:sz w:val="20"/>
          <w:rtl/>
        </w:rPr>
        <w:t>130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74B" w:rsidRDefault="00BE774B" w:rsidP="00E813C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שוויון זכויות לאנשים עם מוגבלות (התאמות נגישות </w:t>
    </w:r>
    <w:r w:rsidR="00E813C5">
      <w:rPr>
        <w:rFonts w:hAnsi="FrankRuehl" w:hint="cs"/>
        <w:color w:val="000000"/>
        <w:sz w:val="28"/>
        <w:szCs w:val="28"/>
        <w:rtl/>
      </w:rPr>
      <w:t>למקומות ציבוריים קיימים שהם מוסדות להשכלה גבוהה ולשירותי השכלה גבוהה שהם נותנים</w:t>
    </w:r>
    <w:r>
      <w:rPr>
        <w:rFonts w:hAnsi="FrankRuehl" w:hint="cs"/>
        <w:color w:val="000000"/>
        <w:sz w:val="28"/>
        <w:szCs w:val="28"/>
        <w:rtl/>
      </w:rPr>
      <w:t>), תשע"</w:t>
    </w:r>
    <w:r w:rsidR="00E813C5">
      <w:rPr>
        <w:rFonts w:hAnsi="FrankRuehl" w:hint="cs"/>
        <w:color w:val="000000"/>
        <w:sz w:val="28"/>
        <w:szCs w:val="28"/>
        <w:rtl/>
      </w:rPr>
      <w:t>ז</w:t>
    </w:r>
    <w:r>
      <w:rPr>
        <w:rFonts w:hAnsi="FrankRuehl" w:hint="cs"/>
        <w:color w:val="000000"/>
        <w:sz w:val="28"/>
        <w:szCs w:val="28"/>
        <w:rtl/>
      </w:rPr>
      <w:t>-2016</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E774B" w:rsidRDefault="00BE774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2130"/>
    <w:rsid w:val="000122BA"/>
    <w:rsid w:val="00067028"/>
    <w:rsid w:val="00070291"/>
    <w:rsid w:val="000764DF"/>
    <w:rsid w:val="00082EE2"/>
    <w:rsid w:val="00085568"/>
    <w:rsid w:val="000A1745"/>
    <w:rsid w:val="000B58F3"/>
    <w:rsid w:val="000C03B2"/>
    <w:rsid w:val="000C3D03"/>
    <w:rsid w:val="000D2D0D"/>
    <w:rsid w:val="000E7044"/>
    <w:rsid w:val="000F2444"/>
    <w:rsid w:val="00114804"/>
    <w:rsid w:val="001153D7"/>
    <w:rsid w:val="0012244D"/>
    <w:rsid w:val="00151ACB"/>
    <w:rsid w:val="00156404"/>
    <w:rsid w:val="001938EA"/>
    <w:rsid w:val="001A230C"/>
    <w:rsid w:val="001B6E43"/>
    <w:rsid w:val="001C2251"/>
    <w:rsid w:val="001C7522"/>
    <w:rsid w:val="001D120E"/>
    <w:rsid w:val="001D75C6"/>
    <w:rsid w:val="00200483"/>
    <w:rsid w:val="002005AF"/>
    <w:rsid w:val="00216A99"/>
    <w:rsid w:val="00221277"/>
    <w:rsid w:val="00244B20"/>
    <w:rsid w:val="00253C5A"/>
    <w:rsid w:val="002543EF"/>
    <w:rsid w:val="00256B53"/>
    <w:rsid w:val="00262C30"/>
    <w:rsid w:val="0026625D"/>
    <w:rsid w:val="00281952"/>
    <w:rsid w:val="0029276A"/>
    <w:rsid w:val="002A63AA"/>
    <w:rsid w:val="002D45A6"/>
    <w:rsid w:val="002E45BD"/>
    <w:rsid w:val="002F33DE"/>
    <w:rsid w:val="00305D29"/>
    <w:rsid w:val="003074B1"/>
    <w:rsid w:val="00325844"/>
    <w:rsid w:val="00335B12"/>
    <w:rsid w:val="003639BD"/>
    <w:rsid w:val="00381291"/>
    <w:rsid w:val="0038497B"/>
    <w:rsid w:val="00394A76"/>
    <w:rsid w:val="003957CE"/>
    <w:rsid w:val="003A263B"/>
    <w:rsid w:val="003A58B0"/>
    <w:rsid w:val="003A6731"/>
    <w:rsid w:val="003B1E42"/>
    <w:rsid w:val="003B6D35"/>
    <w:rsid w:val="003C1C00"/>
    <w:rsid w:val="003F7C42"/>
    <w:rsid w:val="00415410"/>
    <w:rsid w:val="00417BC4"/>
    <w:rsid w:val="00433D35"/>
    <w:rsid w:val="00481D2C"/>
    <w:rsid w:val="00483320"/>
    <w:rsid w:val="004B0984"/>
    <w:rsid w:val="004B4E48"/>
    <w:rsid w:val="004F3CDA"/>
    <w:rsid w:val="004F6808"/>
    <w:rsid w:val="005056A7"/>
    <w:rsid w:val="00513CA0"/>
    <w:rsid w:val="00564D68"/>
    <w:rsid w:val="005672E8"/>
    <w:rsid w:val="00585AEE"/>
    <w:rsid w:val="00594DDC"/>
    <w:rsid w:val="00595998"/>
    <w:rsid w:val="005B05B8"/>
    <w:rsid w:val="005B4877"/>
    <w:rsid w:val="005C15CB"/>
    <w:rsid w:val="005D582D"/>
    <w:rsid w:val="005E0158"/>
    <w:rsid w:val="005F38C3"/>
    <w:rsid w:val="006100AD"/>
    <w:rsid w:val="0061159D"/>
    <w:rsid w:val="00621E8A"/>
    <w:rsid w:val="006415BC"/>
    <w:rsid w:val="0065009A"/>
    <w:rsid w:val="006A4F44"/>
    <w:rsid w:val="006B0A29"/>
    <w:rsid w:val="006B3C2B"/>
    <w:rsid w:val="006C3869"/>
    <w:rsid w:val="006E0BEF"/>
    <w:rsid w:val="00720972"/>
    <w:rsid w:val="0073201B"/>
    <w:rsid w:val="00737B71"/>
    <w:rsid w:val="0078382A"/>
    <w:rsid w:val="007937BC"/>
    <w:rsid w:val="007960E4"/>
    <w:rsid w:val="007A551C"/>
    <w:rsid w:val="007A68A1"/>
    <w:rsid w:val="007A77D8"/>
    <w:rsid w:val="007A7DCC"/>
    <w:rsid w:val="007E2920"/>
    <w:rsid w:val="00811D59"/>
    <w:rsid w:val="008237FD"/>
    <w:rsid w:val="00832813"/>
    <w:rsid w:val="00836E81"/>
    <w:rsid w:val="00837CE8"/>
    <w:rsid w:val="00852F42"/>
    <w:rsid w:val="00895486"/>
    <w:rsid w:val="008A5BEA"/>
    <w:rsid w:val="008D4DBF"/>
    <w:rsid w:val="008D670D"/>
    <w:rsid w:val="008D769A"/>
    <w:rsid w:val="008E2561"/>
    <w:rsid w:val="008F5BF0"/>
    <w:rsid w:val="008F735E"/>
    <w:rsid w:val="00905692"/>
    <w:rsid w:val="00906989"/>
    <w:rsid w:val="009339E1"/>
    <w:rsid w:val="00936367"/>
    <w:rsid w:val="0094324A"/>
    <w:rsid w:val="00957B5C"/>
    <w:rsid w:val="009616CC"/>
    <w:rsid w:val="00966653"/>
    <w:rsid w:val="00977BD8"/>
    <w:rsid w:val="00990862"/>
    <w:rsid w:val="0099769F"/>
    <w:rsid w:val="0099774F"/>
    <w:rsid w:val="009B1FA5"/>
    <w:rsid w:val="009C7EF2"/>
    <w:rsid w:val="009D184D"/>
    <w:rsid w:val="009E3BF5"/>
    <w:rsid w:val="009F3529"/>
    <w:rsid w:val="009F3A1A"/>
    <w:rsid w:val="009F4064"/>
    <w:rsid w:val="00A14553"/>
    <w:rsid w:val="00A1570F"/>
    <w:rsid w:val="00A16D8D"/>
    <w:rsid w:val="00A35851"/>
    <w:rsid w:val="00A448F4"/>
    <w:rsid w:val="00A44A3F"/>
    <w:rsid w:val="00A534A6"/>
    <w:rsid w:val="00A5754A"/>
    <w:rsid w:val="00A618FF"/>
    <w:rsid w:val="00A83E45"/>
    <w:rsid w:val="00A971C7"/>
    <w:rsid w:val="00AB1F0A"/>
    <w:rsid w:val="00AB7A67"/>
    <w:rsid w:val="00AC3DAA"/>
    <w:rsid w:val="00AD4D02"/>
    <w:rsid w:val="00B14A6D"/>
    <w:rsid w:val="00B1518F"/>
    <w:rsid w:val="00B23890"/>
    <w:rsid w:val="00B306DE"/>
    <w:rsid w:val="00B41F57"/>
    <w:rsid w:val="00B45E36"/>
    <w:rsid w:val="00B55094"/>
    <w:rsid w:val="00B60BAA"/>
    <w:rsid w:val="00B679F1"/>
    <w:rsid w:val="00B92511"/>
    <w:rsid w:val="00B929B2"/>
    <w:rsid w:val="00BB3A8D"/>
    <w:rsid w:val="00BC2A57"/>
    <w:rsid w:val="00BC3606"/>
    <w:rsid w:val="00BC6821"/>
    <w:rsid w:val="00BE14D2"/>
    <w:rsid w:val="00BE774B"/>
    <w:rsid w:val="00BF4914"/>
    <w:rsid w:val="00C1513D"/>
    <w:rsid w:val="00C33ACB"/>
    <w:rsid w:val="00C37AC9"/>
    <w:rsid w:val="00C5658A"/>
    <w:rsid w:val="00C76B56"/>
    <w:rsid w:val="00CA05F7"/>
    <w:rsid w:val="00CA28A7"/>
    <w:rsid w:val="00CF0B2A"/>
    <w:rsid w:val="00D23879"/>
    <w:rsid w:val="00D507CA"/>
    <w:rsid w:val="00D55ED4"/>
    <w:rsid w:val="00D57B76"/>
    <w:rsid w:val="00D67C74"/>
    <w:rsid w:val="00D702B8"/>
    <w:rsid w:val="00D706C7"/>
    <w:rsid w:val="00D92DAB"/>
    <w:rsid w:val="00DA18B6"/>
    <w:rsid w:val="00DA6334"/>
    <w:rsid w:val="00DA695D"/>
    <w:rsid w:val="00DB159A"/>
    <w:rsid w:val="00DB67C2"/>
    <w:rsid w:val="00DF0474"/>
    <w:rsid w:val="00DF35C6"/>
    <w:rsid w:val="00DF433F"/>
    <w:rsid w:val="00E02836"/>
    <w:rsid w:val="00E05922"/>
    <w:rsid w:val="00E46B6A"/>
    <w:rsid w:val="00E55536"/>
    <w:rsid w:val="00E65A6F"/>
    <w:rsid w:val="00E813C5"/>
    <w:rsid w:val="00E86664"/>
    <w:rsid w:val="00E872B4"/>
    <w:rsid w:val="00EA0773"/>
    <w:rsid w:val="00EC6405"/>
    <w:rsid w:val="00ED782B"/>
    <w:rsid w:val="00EE40D6"/>
    <w:rsid w:val="00EE5228"/>
    <w:rsid w:val="00EF5346"/>
    <w:rsid w:val="00F076F1"/>
    <w:rsid w:val="00F24B0F"/>
    <w:rsid w:val="00F3422A"/>
    <w:rsid w:val="00F55541"/>
    <w:rsid w:val="00F674CF"/>
    <w:rsid w:val="00F67E6C"/>
    <w:rsid w:val="00F96C98"/>
    <w:rsid w:val="00FA2AF5"/>
    <w:rsid w:val="00FC2435"/>
    <w:rsid w:val="00FC7BFA"/>
    <w:rsid w:val="00FF74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5CB54EE-43F2-4E45-B99A-9C89D865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305D29"/>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13509</CharactersWithSpaces>
  <SharedDoc>false</SharedDoc>
  <HLinks>
    <vt:vector size="138" baseType="variant">
      <vt:variant>
        <vt:i4>393283</vt:i4>
      </vt:variant>
      <vt:variant>
        <vt:i4>126</vt:i4>
      </vt:variant>
      <vt:variant>
        <vt:i4>0</vt:i4>
      </vt:variant>
      <vt:variant>
        <vt:i4>5</vt:i4>
      </vt:variant>
      <vt:variant>
        <vt:lpwstr>http://www.nevo.co.il/advertisements/nevo-100.doc</vt:lpwstr>
      </vt:variant>
      <vt:variant>
        <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8126472</vt:i4>
      </vt:variant>
      <vt:variant>
        <vt:i4>0</vt:i4>
      </vt:variant>
      <vt:variant>
        <vt:i4>0</vt:i4>
      </vt:variant>
      <vt:variant>
        <vt:i4>5</vt:i4>
      </vt:variant>
      <vt:variant>
        <vt:lpwstr>http://www.nevo.co.il/Law_word/law06/tak-7727.pdf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(התאמות נגישות למקומות ציבוריים קיימים שהם מוסדות להשכלה גבוהה ולשירותי השכלה גבוהה שהם נותנים), תשע"ז-2016</vt:lpwstr>
  </property>
  <property fmtid="{D5CDD505-2E9C-101B-9397-08002B2CF9AE}" pid="5" name="LAWNUMBER">
    <vt:lpwstr>0479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NOSE11">
    <vt:lpwstr>דיני חוקה </vt:lpwstr>
  </property>
  <property fmtid="{D5CDD505-2E9C-101B-9397-08002B2CF9AE}" pid="22" name="NOSE21">
    <vt:lpwstr>שוויון</vt:lpwstr>
  </property>
  <property fmtid="{D5CDD505-2E9C-101B-9397-08002B2CF9AE}" pid="23" name="NOSE31">
    <vt:lpwstr>אנשים עם מוגבלויות</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חינוך</vt:lpwstr>
  </property>
  <property fmtid="{D5CDD505-2E9C-101B-9397-08002B2CF9AE}" pid="27" name="NOSE32">
    <vt:lpwstr>השכלה גבוהה</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שוויון זכויות לאנשים עם מוגבלות</vt:lpwstr>
  </property>
  <property fmtid="{D5CDD505-2E9C-101B-9397-08002B2CF9AE}" pid="63" name="MEKOR_SAIF1">
    <vt:lpwstr>19כטX;19לא1X</vt:lpwstr>
  </property>
  <property fmtid="{D5CDD505-2E9C-101B-9397-08002B2CF9AE}" pid="64" name="LINKK1">
    <vt:lpwstr>http://www.nevo.co.il/Law_word/law06/tak-7727.pdf;‎רשומות - תקנות כלליות#פורסמו ק"ת תשע"ז ‏מס' 7727 #מיום 14.11.2016 עמ' 130‏</vt:lpwstr>
  </property>
</Properties>
</file>