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FD3" w:rsidRDefault="00FD0FD3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שוויון זכויות לאנשים עם מוגבלות (מורשים לנגישות מבנים, תשתיות וסביבה), תשס"ז-2007</w:t>
      </w:r>
    </w:p>
    <w:p w:rsidR="008B20E7" w:rsidRPr="008B20E7" w:rsidRDefault="008B20E7" w:rsidP="008B20E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8B20E7" w:rsidRPr="008B20E7" w:rsidRDefault="008B20E7" w:rsidP="008B20E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8B20E7">
        <w:rPr>
          <w:rFonts w:cs="Miriam"/>
          <w:szCs w:val="22"/>
          <w:rtl/>
          <w:lang w:eastAsia="en-US"/>
        </w:rPr>
        <w:t xml:space="preserve">דיני חוקה </w:t>
      </w:r>
      <w:r w:rsidRPr="008B20E7">
        <w:rPr>
          <w:rFonts w:cs="FrankRuehl"/>
          <w:szCs w:val="26"/>
          <w:rtl/>
          <w:lang w:eastAsia="en-US"/>
        </w:rPr>
        <w:t xml:space="preserve"> – שוויון – אנשים עם מוגבלויות</w:t>
      </w:r>
    </w:p>
    <w:p w:rsidR="00FD0FD3" w:rsidRDefault="00FD0FD3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רישום בפנקס במדור מורשים לנגישות מבנים, תשתיות וסב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רישום בפנקס במדור מורשים לנגישות מבנים, תשתיות וסביבה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תכנית הלימו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תכנית הלימודים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מוסד מוכר לביצוע תכנית הלימו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מוסד מוכר לביצוע תכנית הלימודים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4" w:tooltip="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בחינות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5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Seif5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5" w:tooltip="תעודת מק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תעודת מקצוע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6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Seif6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6" w:tooltip="השתל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השתלמות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7 </w:t>
            </w:r>
          </w:p>
        </w:tc>
      </w:tr>
      <w:tr w:rsidR="00FD0F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Seif7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0FD3" w:rsidRDefault="00FD0FD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תחילה</w:t>
            </w:r>
          </w:p>
        </w:tc>
        <w:tc>
          <w:tcPr>
            <w:tcW w:w="1247" w:type="dxa"/>
          </w:tcPr>
          <w:p w:rsidR="00FD0FD3" w:rsidRDefault="00FD0FD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8 </w:t>
            </w:r>
          </w:p>
        </w:tc>
      </w:tr>
    </w:tbl>
    <w:p w:rsidR="00FD0FD3" w:rsidRDefault="00FD0F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D0FD3" w:rsidRPr="008B20E7" w:rsidRDefault="00FD0FD3" w:rsidP="008B20E7">
      <w:pPr>
        <w:pStyle w:val="big-header"/>
        <w:ind w:left="0" w:right="1134"/>
        <w:rPr>
          <w:rStyle w:val="default"/>
          <w:rFonts w:cs="FrankRuehl" w:hint="cs"/>
          <w:szCs w:val="3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שוויון זכויות לאנשים עם מוגבלות (מורשים לנגישות מבנים, תשתיות וסביבה), תשס"ז-2007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19מא לחוק שוויון זכויות לאנשים עם מוגבלות, התשנ"ח-</w:t>
      </w:r>
      <w:r>
        <w:rPr>
          <w:rStyle w:val="default"/>
          <w:rFonts w:cs="FrankRuehl" w:hint="cs"/>
          <w:rtl/>
          <w:lang w:eastAsia="en-US"/>
        </w:rPr>
        <w:t xml:space="preserve">1998 </w:t>
      </w:r>
      <w:r>
        <w:rPr>
          <w:rStyle w:val="default"/>
          <w:rFonts w:cs="FrankRuehl"/>
          <w:rtl/>
          <w:lang w:eastAsia="en-US"/>
        </w:rPr>
        <w:t>(להלן – החוק), לאחר התייעצות עם נציב שוויון זכויות לאנשים עם מוגבלות, אני מתקין תקנות אלה: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4pt;z-index:251654144" o:allowincell="f" filled="f" stroked="f" strokecolor="lime" strokeweight=".25pt">
            <v:textbox style="mso-next-textbox:#_x0000_s1026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בתקנות אלה –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"האגף להכשרה" – אגף בכיר להכשרה ולפיתוח כוח אדם במשרד התעשיה המסחר והתעסוקה (להלן – המשרד);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"המנהל" – מי שמנהל האגף להכשרה מינה לענין תקנות אלה;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"הרשם לענין מהנדסים ואדריכלים" ו"הרשם לענין הנדסאים" – מי שלפי סעיף 19מא(ו)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לחוק מנהל את המדור למורשים לנגישות מבנים, תשתיות וסביבה בפנקס המהנדסים והאדריכלים או בפנקס ההנדסאים והטכנאים, לפי הענין;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"ועדת המקצוע" – ועדה שחבריה הרשם לענין מהנדסים ואדריכלים – יושב ראש, הרשם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לענין הנדסאים, הנציב או נציגו, חבר אקדמיה בר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סמכא שמינה השר לענין זה, נציג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ארגון זכויות לאנשים עם מוגבלות שמינה השר בהתייעצות עם הנציב ונציג האגף להכשרה שמינה מנהל האגף;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"פנקס המהנדסים והאדריכלים" ו"פנקס ההנדסאים והטכנאים" – כמשמעותם בסעיף </w:t>
      </w:r>
      <w:r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19מא(ו) לחוק.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34.05pt;z-index:251655168" filled="f" stroked="f">
            <v:textbox inset="1mm,0,1mm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רישום בפנקס במדור מורשים לנגישות מבנים, תשתיות וסביבה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במדור מורשים לנגישות מבנים, תשתיות וסביבה בפנקס המהנדסים והאדריכלים או בפנקס ההנדסאים והטכנאים לפי הענין, זכאי להירשם מי שמתקיימים בו כל אלה:</w:t>
      </w:r>
    </w:p>
    <w:p w:rsidR="00FD0FD3" w:rsidRDefault="00FD0FD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הרשם לענין מהנדסים ואדריכלים או הרשם לענין הנדסאים לפי הענין, קבע כי נתקיימו בו דרישות סעיף 19מא(ב)(1)(א) או (ב), לפי הענין;</w:t>
      </w:r>
    </w:p>
    <w:p w:rsidR="00FD0FD3" w:rsidRDefault="00FD0FD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עמד בכל דרישות תכנית הלימודים שנקבעה לפי תקנה 3;</w:t>
      </w:r>
    </w:p>
    <w:p w:rsidR="00FD0FD3" w:rsidRDefault="00FD0FD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עבר בהצלחה בחינות שערך המנהל לפי תקנה 5;</w:t>
      </w:r>
    </w:p>
    <w:p w:rsidR="00FD0FD3" w:rsidRDefault="00FD0FD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בעל תעודת מקצוע שנתן המנהל לפי תקנה 6.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>
          <v:rect id="_x0000_s1263" style="position:absolute;left:0;text-align:left;margin-left:464.5pt;margin-top:8.05pt;width:75.05pt;height:13.35pt;z-index:251656192" o:allowincell="f" filled="f" stroked="f" strokecolor="lime" strokeweight=".25pt">
            <v:textbox style="mso-next-textbox:#_x0000_s1263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תכנית הלימודים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תכנית הלימודים לענין תקנות אלה תכלול מרכיבים עיוניים ומעשיים, לפי הנחיות המנהל בהתייעצות עם ועדת המקצוע.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תכנית הלימודים תתמקד בהנגשת מבנים, תשתיות וסביבה, ואולם ייכללו בה גם שיעורי מבוא להנגשת השירות, כאמור בתקנת משנה (ג)(5).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תכנית הלימודים תכלול את הנושאים כמפורט להלן:</w:t>
      </w:r>
    </w:p>
    <w:p w:rsidR="00FD0FD3" w:rsidRDefault="00FD0FD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הוראות הדין הרלוונטיות לתחום הנגשת מבנים, תשתיות וסביבה;</w:t>
      </w:r>
    </w:p>
    <w:p w:rsidR="00FD0FD3" w:rsidRDefault="00FD0FD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הדרכים להנגשת מבנים, תשתיות וסביבה לסוגיהם שהחוק חל עליהם;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אמצעים, התאמות טכנולוגיות ופתרונות הנדסיים בין בדרך כלל ובין לפי סוגי המבנים, התשתיות והסביבה;</w:t>
      </w:r>
    </w:p>
    <w:p w:rsidR="00FD0FD3" w:rsidRDefault="00FD0FD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סוגי המוגבלויות וצורכי האדם עם מוגבלות, עקרונות ההנגשה ודרכי יישומם הלכה למעשה;</w:t>
      </w:r>
    </w:p>
    <w:p w:rsidR="00FD0FD3" w:rsidRDefault="00FD0FD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הנעשה בתחום נגישות מבנים, תשתיות וסביבה במדינות אחרות;</w:t>
      </w:r>
    </w:p>
    <w:p w:rsidR="00FD0FD3" w:rsidRDefault="00FD0FD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תפקידיו של מורשה לנגישות מבנים, תשתיות וסביבה ותפקידיו ושל מורשה לנגישות שירות.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המנהל רשאי לפטור מי שביקש זאת בכתב, מנושאים בתכנית הלימודים שהוכח </w:t>
      </w:r>
      <w:r>
        <w:rPr>
          <w:rStyle w:val="default"/>
          <w:rFonts w:cs="FrankRuehl"/>
          <w:rtl/>
          <w:lang w:eastAsia="en-US"/>
        </w:rPr>
        <w:lastRenderedPageBreak/>
        <w:t>להנחת דעתו כי הוא למד אותם במסגרת אחרת ואין טעם מעשי בלימודם מחדש; המנהל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יפעל לענין זה על פי אמות מידה שהחליטה עליהן ועדת המקצוע, ובמקרים מיוחדים הוא יהיה רשאי גם להיוועץ בה.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lang w:val="he-IL"/>
        </w:rPr>
        <w:pict>
          <v:rect id="_x0000_s1264" style="position:absolute;left:0;text-align:left;margin-left:464.5pt;margin-top:8.05pt;width:75.05pt;height:21.4pt;z-index:251657216" o:allowincell="f" filled="f" stroked="f" strokecolor="lime" strokeweight=".25pt">
            <v:textbox style="mso-next-textbox:#_x0000_s1264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מוסד מוכר לביצוע תכנית הלימודים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תכנית הלימודים לענין תקנות אלה תבוצע במוסד לימודים אקדמי שהכיר בו המנהל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לאחר שהוכיח את יכולתו להעבירה על פי אמות מידה שהחליטה עליהן ועדת המקצוע;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ולענין הכשרת הנדסאים – ברמה אקדמית או ברמה של מוסד מוכר להכשרת הנדסאים דרך כלל (להלן – מוסד מוכר).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pict>
          <v:rect id="_x0000_s1265" style="position:absolute;left:0;text-align:left;margin-left:464.5pt;margin-top:8.05pt;width:75.05pt;height:11.4pt;z-index:251658240" o:allowincell="f" filled="f" stroked="f" strokecolor="lime" strokeweight=".25pt">
            <v:textbox style="mso-next-textbox:#_x0000_s1265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המנהל יערוך בחינות אחת לשנה לפחות, אך לא לפני חלוף 60 ימים ממועד פרסום מועדן באתר האינטרנט של המשרד או בדרך אחרת שיראה לנכונה.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תוכן הבחינות, מתכונתן והליך ההשגה על תוצאותיהן ייקבעו בהתאמה לדרישות תכנית הלימודים בהתייעצות עם ועדת המקצוע.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לבחינה זכאי לגשת מי שמתקיימות בו דרישות סעיף 19מא(ב)(1) לחוק והמציא אישור מאת מוסד מוכר בדבר השלמת תכנית הלימודים לפי תקנה 3.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5"/>
      <w:bookmarkEnd w:id="5"/>
      <w:r>
        <w:rPr>
          <w:lang w:val="he-IL"/>
        </w:rPr>
        <w:pict>
          <v:rect id="_x0000_s1281" style="position:absolute;left:0;text-align:left;margin-left:464.5pt;margin-top:8.05pt;width:75.05pt;height:11.4pt;z-index:251659264" o:allowincell="f" filled="f" stroked="f" strokecolor="lime" strokeweight=".25pt">
            <v:textbox style="mso-next-textbox:#_x0000_s1281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תעודת מקצוע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המנהל ייתן תעודת מקצוע למי שעבר בהצלחה את הבחינות לפי תקנה 5.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6" w:name="Seif6"/>
      <w:bookmarkEnd w:id="6"/>
      <w:r>
        <w:rPr>
          <w:lang w:val="he-IL"/>
        </w:rPr>
        <w:pict>
          <v:rect id="_x0000_s1282" style="position:absolute;left:0;text-align:left;margin-left:464.5pt;margin-top:8.05pt;width:75.05pt;height:11.4pt;z-index:251660288" o:allowincell="f" filled="f" stroked="f" strokecolor="lime" strokeweight=".25pt">
            <v:textbox style="mso-next-textbox:#_x0000_s1282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השתלמות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מי שרשום במדור מורשים לנגישות מבנים, תשתיות וסביבה בפנקס המהנדסים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והאדריכלים או בפנקס ההנדסאים והטכנאים, יעבור מזמן לזמן, השתלמות בנושאים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הנוגעים לנגישות מבנים, תשתיות וסביבה, כפי שיורו ביחד המנהל והרשם לענין מהנדסים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ואדריכלים או הרשם לענין הנדסאים, לפי הענין, באישור ועדת המקצוע; ויכול שיורו בדרך האמורה מבחן בנושאי ההשתלמות.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7"/>
      <w:bookmarkEnd w:id="7"/>
      <w:r>
        <w:rPr>
          <w:lang w:val="he-IL"/>
        </w:rPr>
        <w:pict>
          <v:rect id="_x0000_s1283" style="position:absolute;left:0;text-align:left;margin-left:464.5pt;margin-top:8.05pt;width:75.05pt;height:11.4pt;z-index:251661312" o:allowincell="f" filled="f" stroked="f" strokecolor="lime" strokeweight=".25pt">
            <v:textbox style="mso-next-textbox:#_x0000_s1283" inset="0,0,0,0">
              <w:txbxContent>
                <w:p w:rsidR="00FD0FD3" w:rsidRDefault="00FD0FD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תחילתן של תקנות אלה שישים ימים מיום פרסומן.</w:t>
      </w:r>
    </w:p>
    <w:p w:rsidR="00FD0FD3" w:rsidRDefault="00FD0F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D0FD3" w:rsidRDefault="00FD0FD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D0FD3" w:rsidRDefault="00FD0F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בשבט התשס"ז (29 בינואר 2007)</w:t>
      </w:r>
    </w:p>
    <w:p w:rsidR="00FD0FD3" w:rsidRDefault="00FD0F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vertAlign w:val="subscript"/>
          <w:rtl/>
          <w:lang w:eastAsia="en-US"/>
        </w:rPr>
      </w:pPr>
      <w:r>
        <w:rPr>
          <w:rFonts w:hint="cs"/>
          <w:rtl/>
          <w:lang w:eastAsia="en-US"/>
        </w:rPr>
        <w:tab/>
        <w:t>אליהו ישי</w:t>
      </w:r>
    </w:p>
    <w:p w:rsidR="00FD0FD3" w:rsidRDefault="00FD0F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התעשיה המסחר והתעסוקה</w:t>
      </w: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FD0FD3" w:rsidRDefault="00FD0FD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FD0FD3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687" w:rsidRDefault="004B6687">
      <w:r>
        <w:separator/>
      </w:r>
    </w:p>
  </w:endnote>
  <w:endnote w:type="continuationSeparator" w:id="0">
    <w:p w:rsidR="004B6687" w:rsidRDefault="004B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FD3" w:rsidRDefault="00FD0FD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FD0FD3" w:rsidRDefault="00FD0F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FD0FD3" w:rsidRDefault="00FD0F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Z:\000000000000-law\yael\07-02-13\999_731.doc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FD3" w:rsidRDefault="00FD0FD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F228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FD0FD3" w:rsidRDefault="00FD0F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FD0FD3" w:rsidRDefault="00FD0F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Z:\000000000000-law\yael\07-02-13\999_731.doc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687" w:rsidRDefault="004B668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B6687" w:rsidRDefault="004B6687">
      <w:pPr>
        <w:spacing w:before="60" w:line="240" w:lineRule="auto"/>
        <w:ind w:right="1134"/>
      </w:pPr>
      <w:r>
        <w:separator/>
      </w:r>
    </w:p>
  </w:footnote>
  <w:footnote w:id="1">
    <w:p w:rsidR="00FD0FD3" w:rsidRDefault="00FD0F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שס"ז מס' 6563</w:t>
        </w:r>
      </w:hyperlink>
      <w:r>
        <w:rPr>
          <w:rFonts w:hint="cs"/>
          <w:rtl/>
          <w:lang w:eastAsia="en-US"/>
        </w:rPr>
        <w:t xml:space="preserve"> מיום 11.2.2007 עמ' 574.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FD3" w:rsidRDefault="00FD0FD3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FD0FD3" w:rsidRDefault="00FD0F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FD0FD3" w:rsidRDefault="00FD0F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FD3" w:rsidRDefault="00FD0FD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שוויון זכויות לאנשים עם מוגבלות (מורשים לנגישות מבנים, תשתיות וסביבה)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ז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7</w:t>
    </w:r>
  </w:p>
  <w:p w:rsidR="00FD0FD3" w:rsidRDefault="00FD0F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FD0FD3" w:rsidRDefault="00FD0F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0E7"/>
    <w:rsid w:val="004B6687"/>
    <w:rsid w:val="008B20E7"/>
    <w:rsid w:val="00903C47"/>
    <w:rsid w:val="00A41290"/>
    <w:rsid w:val="00AF2281"/>
    <w:rsid w:val="00F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FE64307-0BD8-4372-9A7E-41A9F3F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4438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שוויון זכויות לאנשים עם מוגבלות</vt:lpwstr>
  </property>
  <property fmtid="{D5CDD505-2E9C-101B-9397-08002B2CF9AE}" pid="4" name="LAWNAME">
    <vt:lpwstr>תקנות שוויון זכויות לאנשים עם מוגבלות (מורשים לנגישות מבנים, תשתיות וסביבה), תשס"ז-2007</vt:lpwstr>
  </property>
  <property fmtid="{D5CDD505-2E9C-101B-9397-08002B2CF9AE}" pid="5" name="LAWNUMBER">
    <vt:lpwstr>0731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http://www.nevo.co.il/Law_word/law06/tak-6563.pdf;רשומות - תקנות כלליות#פורסמו ק"ת תשס"ז מס' 6563 #מיום 11.2.2007 #עמ' 574</vt:lpwstr>
  </property>
  <property fmtid="{D5CDD505-2E9C-101B-9397-08002B2CF9AE}" pid="22" name="NOSE11">
    <vt:lpwstr>דיני חוקה </vt:lpwstr>
  </property>
  <property fmtid="{D5CDD505-2E9C-101B-9397-08002B2CF9AE}" pid="23" name="NOSE21">
    <vt:lpwstr>שוויון</vt:lpwstr>
  </property>
  <property fmtid="{D5CDD505-2E9C-101B-9397-08002B2CF9AE}" pid="24" name="NOSE31">
    <vt:lpwstr>אנשים עם מוגבלויות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שוויון זכויות לאנשים עם מוגבלות</vt:lpwstr>
  </property>
  <property fmtid="{D5CDD505-2E9C-101B-9397-08002B2CF9AE}" pid="63" name="MEKOR_SAIF1">
    <vt:lpwstr>19מאX</vt:lpwstr>
  </property>
</Properties>
</file>