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74D" w:rsidRDefault="00A5674D">
      <w:pPr>
        <w:pStyle w:val="big-header"/>
        <w:ind w:left="0" w:right="1134"/>
        <w:rPr>
          <w:rFonts w:hint="cs"/>
          <w:rtl/>
        </w:rPr>
      </w:pPr>
      <w:r>
        <w:rPr>
          <w:rtl/>
        </w:rPr>
        <w:t>תקנות שירות בטחון (יציאת אנשי מילואים לחוץ לארץ), תשנ"ב</w:t>
      </w:r>
      <w:r>
        <w:rPr>
          <w:rFonts w:hint="cs"/>
          <w:rtl/>
        </w:rPr>
        <w:t>-</w:t>
      </w:r>
      <w:r>
        <w:rPr>
          <w:rtl/>
        </w:rPr>
        <w:t>1992</w:t>
      </w:r>
    </w:p>
    <w:p w:rsidR="005912F1" w:rsidRDefault="005912F1" w:rsidP="005912F1">
      <w:pPr>
        <w:spacing w:line="320" w:lineRule="auto"/>
        <w:jc w:val="left"/>
        <w:rPr>
          <w:rFonts w:cs="FrankRuehl" w:hint="cs"/>
          <w:szCs w:val="26"/>
          <w:rtl/>
        </w:rPr>
      </w:pPr>
    </w:p>
    <w:p w:rsidR="007F1D50" w:rsidRPr="005912F1" w:rsidRDefault="007F1D50" w:rsidP="005912F1">
      <w:pPr>
        <w:spacing w:line="320" w:lineRule="auto"/>
        <w:jc w:val="left"/>
        <w:rPr>
          <w:rFonts w:cs="FrankRuehl" w:hint="cs"/>
          <w:szCs w:val="26"/>
          <w:rtl/>
        </w:rPr>
      </w:pPr>
    </w:p>
    <w:p w:rsidR="005912F1" w:rsidRDefault="005912F1" w:rsidP="005912F1">
      <w:pPr>
        <w:spacing w:line="320" w:lineRule="auto"/>
        <w:jc w:val="left"/>
        <w:rPr>
          <w:rFonts w:cs="Miriam"/>
          <w:szCs w:val="22"/>
          <w:rtl/>
        </w:rPr>
      </w:pPr>
      <w:r w:rsidRPr="005912F1">
        <w:rPr>
          <w:rFonts w:cs="Miriam"/>
          <w:szCs w:val="22"/>
          <w:rtl/>
        </w:rPr>
        <w:t>בטחון</w:t>
      </w:r>
      <w:r w:rsidRPr="005912F1">
        <w:rPr>
          <w:rFonts w:cs="FrankRuehl"/>
          <w:szCs w:val="26"/>
          <w:rtl/>
        </w:rPr>
        <w:t xml:space="preserve"> – צה"ל – שירות בטחון – מילואים</w:t>
      </w:r>
    </w:p>
    <w:p w:rsidR="005912F1" w:rsidRPr="005912F1" w:rsidRDefault="005912F1" w:rsidP="005912F1">
      <w:pPr>
        <w:spacing w:line="320" w:lineRule="auto"/>
        <w:jc w:val="left"/>
        <w:rPr>
          <w:rFonts w:cs="Miriam" w:hint="cs"/>
          <w:szCs w:val="22"/>
          <w:rtl/>
        </w:rPr>
      </w:pPr>
      <w:r w:rsidRPr="005912F1">
        <w:rPr>
          <w:rFonts w:cs="Miriam"/>
          <w:szCs w:val="22"/>
          <w:rtl/>
        </w:rPr>
        <w:t>בטחון</w:t>
      </w:r>
      <w:r w:rsidRPr="005912F1">
        <w:rPr>
          <w:rFonts w:cs="FrankRuehl"/>
          <w:szCs w:val="26"/>
          <w:rtl/>
        </w:rPr>
        <w:t xml:space="preserve"> – צה"ל – מילואים</w:t>
      </w:r>
    </w:p>
    <w:p w:rsidR="00A5674D" w:rsidRDefault="00A5674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5674D" w:rsidRDefault="00A5674D">
            <w:pPr>
              <w:spacing w:line="240" w:lineRule="auto"/>
              <w:rPr>
                <w:sz w:val="24"/>
              </w:rPr>
            </w:pPr>
            <w:hyperlink w:anchor="Seif0" w:tooltip="הגדרות" w:history="1">
              <w:r>
                <w:rPr>
                  <w:rStyle w:val="Hyperlink"/>
                </w:rPr>
                <w:t>Go</w:t>
              </w:r>
            </w:hyperlink>
          </w:p>
        </w:tc>
        <w:tc>
          <w:tcPr>
            <w:tcW w:w="5669" w:type="dxa"/>
          </w:tcPr>
          <w:p w:rsidR="00A5674D" w:rsidRDefault="00A5674D">
            <w:pPr>
              <w:spacing w:line="240" w:lineRule="auto"/>
              <w:rPr>
                <w:sz w:val="24"/>
                <w:rtl/>
              </w:rPr>
            </w:pPr>
            <w:r>
              <w:rPr>
                <w:sz w:val="24"/>
                <w:rtl/>
              </w:rPr>
              <w:t>הגדרות</w:t>
            </w:r>
          </w:p>
        </w:tc>
        <w:tc>
          <w:tcPr>
            <w:tcW w:w="1247" w:type="dxa"/>
          </w:tcPr>
          <w:p w:rsidR="00A5674D" w:rsidRDefault="00A5674D">
            <w:pPr>
              <w:spacing w:line="240" w:lineRule="auto"/>
              <w:rPr>
                <w:sz w:val="24"/>
              </w:rPr>
            </w:pPr>
            <w:r>
              <w:rPr>
                <w:sz w:val="24"/>
                <w:rtl/>
              </w:rPr>
              <w:t xml:space="preserve">סעיף 1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5674D" w:rsidRDefault="00A5674D">
            <w:pPr>
              <w:spacing w:line="240" w:lineRule="auto"/>
              <w:rPr>
                <w:sz w:val="24"/>
              </w:rPr>
            </w:pPr>
            <w:hyperlink w:anchor="Seif1" w:tooltip="רישום המוטבע בדרכון" w:history="1">
              <w:r>
                <w:rPr>
                  <w:rStyle w:val="Hyperlink"/>
                </w:rPr>
                <w:t>Go</w:t>
              </w:r>
            </w:hyperlink>
          </w:p>
        </w:tc>
        <w:tc>
          <w:tcPr>
            <w:tcW w:w="5669" w:type="dxa"/>
          </w:tcPr>
          <w:p w:rsidR="00A5674D" w:rsidRDefault="00A5674D">
            <w:pPr>
              <w:spacing w:line="240" w:lineRule="auto"/>
              <w:rPr>
                <w:sz w:val="24"/>
                <w:rtl/>
              </w:rPr>
            </w:pPr>
            <w:r>
              <w:rPr>
                <w:sz w:val="24"/>
                <w:rtl/>
              </w:rPr>
              <w:t>רישום המוטבע בדרכון</w:t>
            </w:r>
          </w:p>
        </w:tc>
        <w:tc>
          <w:tcPr>
            <w:tcW w:w="1247" w:type="dxa"/>
          </w:tcPr>
          <w:p w:rsidR="00A5674D" w:rsidRDefault="00A5674D">
            <w:pPr>
              <w:spacing w:line="240" w:lineRule="auto"/>
              <w:rPr>
                <w:sz w:val="24"/>
              </w:rPr>
            </w:pPr>
            <w:r>
              <w:rPr>
                <w:sz w:val="24"/>
                <w:rtl/>
              </w:rPr>
              <w:t xml:space="preserve">סעיף 2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5674D" w:rsidRDefault="00A5674D">
            <w:pPr>
              <w:spacing w:line="240" w:lineRule="auto"/>
              <w:rPr>
                <w:sz w:val="24"/>
              </w:rPr>
            </w:pPr>
            <w:hyperlink w:anchor="Seif2" w:tooltip="הגבלת יציאה לארצות מסוימות" w:history="1">
              <w:r>
                <w:rPr>
                  <w:rStyle w:val="Hyperlink"/>
                </w:rPr>
                <w:t>Go</w:t>
              </w:r>
            </w:hyperlink>
          </w:p>
        </w:tc>
        <w:tc>
          <w:tcPr>
            <w:tcW w:w="5669" w:type="dxa"/>
          </w:tcPr>
          <w:p w:rsidR="00A5674D" w:rsidRDefault="00A5674D">
            <w:pPr>
              <w:spacing w:line="240" w:lineRule="auto"/>
              <w:rPr>
                <w:sz w:val="24"/>
                <w:rtl/>
              </w:rPr>
            </w:pPr>
            <w:r>
              <w:rPr>
                <w:sz w:val="24"/>
                <w:rtl/>
              </w:rPr>
              <w:t>הגבלת יציאה לארצות מסוימות</w:t>
            </w:r>
          </w:p>
        </w:tc>
        <w:tc>
          <w:tcPr>
            <w:tcW w:w="1247" w:type="dxa"/>
          </w:tcPr>
          <w:p w:rsidR="00A5674D" w:rsidRDefault="00A5674D">
            <w:pPr>
              <w:spacing w:line="240" w:lineRule="auto"/>
              <w:rPr>
                <w:sz w:val="24"/>
              </w:rPr>
            </w:pPr>
            <w:r>
              <w:rPr>
                <w:sz w:val="24"/>
                <w:rtl/>
              </w:rPr>
              <w:t xml:space="preserve">סעיף 3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5674D" w:rsidRDefault="00A5674D">
            <w:pPr>
              <w:spacing w:line="240" w:lineRule="auto"/>
              <w:rPr>
                <w:sz w:val="24"/>
              </w:rPr>
            </w:pPr>
            <w:hyperlink w:anchor="Seif3" w:tooltip="הגבלת אנשי מילואים מסוימים" w:history="1">
              <w:r>
                <w:rPr>
                  <w:rStyle w:val="Hyperlink"/>
                </w:rPr>
                <w:t>Go</w:t>
              </w:r>
            </w:hyperlink>
          </w:p>
        </w:tc>
        <w:tc>
          <w:tcPr>
            <w:tcW w:w="5669" w:type="dxa"/>
          </w:tcPr>
          <w:p w:rsidR="00A5674D" w:rsidRDefault="00A5674D">
            <w:pPr>
              <w:spacing w:line="240" w:lineRule="auto"/>
              <w:rPr>
                <w:sz w:val="24"/>
                <w:rtl/>
              </w:rPr>
            </w:pPr>
            <w:r>
              <w:rPr>
                <w:sz w:val="24"/>
                <w:rtl/>
              </w:rPr>
              <w:t>הגבלת אנשי מילואים מסוימים</w:t>
            </w:r>
          </w:p>
        </w:tc>
        <w:tc>
          <w:tcPr>
            <w:tcW w:w="1247" w:type="dxa"/>
          </w:tcPr>
          <w:p w:rsidR="00A5674D" w:rsidRDefault="00A5674D">
            <w:pPr>
              <w:spacing w:line="240" w:lineRule="auto"/>
              <w:rPr>
                <w:sz w:val="24"/>
              </w:rPr>
            </w:pPr>
            <w:r>
              <w:rPr>
                <w:sz w:val="24"/>
                <w:rtl/>
              </w:rPr>
              <w:t xml:space="preserve">סעיף 4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5674D" w:rsidRDefault="00A5674D">
            <w:pPr>
              <w:spacing w:line="240" w:lineRule="auto"/>
              <w:rPr>
                <w:sz w:val="24"/>
              </w:rPr>
            </w:pPr>
            <w:hyperlink w:anchor="Seif4" w:tooltip="הגבלת יציאה בשל הליכים משפטיים" w:history="1">
              <w:r>
                <w:rPr>
                  <w:rStyle w:val="Hyperlink"/>
                </w:rPr>
                <w:t>Go</w:t>
              </w:r>
            </w:hyperlink>
          </w:p>
        </w:tc>
        <w:tc>
          <w:tcPr>
            <w:tcW w:w="5669" w:type="dxa"/>
          </w:tcPr>
          <w:p w:rsidR="00A5674D" w:rsidRDefault="00A5674D">
            <w:pPr>
              <w:spacing w:line="240" w:lineRule="auto"/>
              <w:rPr>
                <w:sz w:val="24"/>
                <w:rtl/>
              </w:rPr>
            </w:pPr>
            <w:r>
              <w:rPr>
                <w:sz w:val="24"/>
                <w:rtl/>
              </w:rPr>
              <w:t>הגבלת יציאה בשל הליכים משפטיים</w:t>
            </w:r>
          </w:p>
        </w:tc>
        <w:tc>
          <w:tcPr>
            <w:tcW w:w="1247" w:type="dxa"/>
          </w:tcPr>
          <w:p w:rsidR="00A5674D" w:rsidRDefault="00A5674D">
            <w:pPr>
              <w:spacing w:line="240" w:lineRule="auto"/>
              <w:rPr>
                <w:sz w:val="24"/>
              </w:rPr>
            </w:pPr>
            <w:r>
              <w:rPr>
                <w:sz w:val="24"/>
                <w:rtl/>
              </w:rPr>
              <w:t xml:space="preserve">סעיף 5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5674D" w:rsidRDefault="00A5674D">
            <w:pPr>
              <w:spacing w:line="240" w:lineRule="auto"/>
              <w:rPr>
                <w:sz w:val="24"/>
              </w:rPr>
            </w:pPr>
            <w:hyperlink w:anchor="Seif5" w:tooltip="היתר מותנה" w:history="1">
              <w:r>
                <w:rPr>
                  <w:rStyle w:val="Hyperlink"/>
                </w:rPr>
                <w:t>Go</w:t>
              </w:r>
            </w:hyperlink>
          </w:p>
        </w:tc>
        <w:tc>
          <w:tcPr>
            <w:tcW w:w="5669" w:type="dxa"/>
          </w:tcPr>
          <w:p w:rsidR="00A5674D" w:rsidRDefault="00A5674D">
            <w:pPr>
              <w:spacing w:line="240" w:lineRule="auto"/>
              <w:rPr>
                <w:sz w:val="24"/>
                <w:rtl/>
              </w:rPr>
            </w:pPr>
            <w:r>
              <w:rPr>
                <w:sz w:val="24"/>
                <w:rtl/>
              </w:rPr>
              <w:t>היתר מותנה</w:t>
            </w:r>
          </w:p>
        </w:tc>
        <w:tc>
          <w:tcPr>
            <w:tcW w:w="1247" w:type="dxa"/>
          </w:tcPr>
          <w:p w:rsidR="00A5674D" w:rsidRDefault="00A5674D">
            <w:pPr>
              <w:spacing w:line="240" w:lineRule="auto"/>
              <w:rPr>
                <w:sz w:val="24"/>
              </w:rPr>
            </w:pPr>
            <w:r>
              <w:rPr>
                <w:sz w:val="24"/>
                <w:rtl/>
              </w:rPr>
              <w:t xml:space="preserve">סעיף 6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5674D" w:rsidRDefault="00A5674D">
            <w:pPr>
              <w:spacing w:line="240" w:lineRule="auto"/>
              <w:rPr>
                <w:sz w:val="24"/>
              </w:rPr>
            </w:pPr>
            <w:hyperlink w:anchor="Seif6" w:tooltip="חובות מפקד ופעיל גיוס" w:history="1">
              <w:r>
                <w:rPr>
                  <w:rStyle w:val="Hyperlink"/>
                </w:rPr>
                <w:t>Go</w:t>
              </w:r>
            </w:hyperlink>
          </w:p>
        </w:tc>
        <w:tc>
          <w:tcPr>
            <w:tcW w:w="5669" w:type="dxa"/>
          </w:tcPr>
          <w:p w:rsidR="00A5674D" w:rsidRDefault="00A5674D">
            <w:pPr>
              <w:spacing w:line="240" w:lineRule="auto"/>
              <w:rPr>
                <w:sz w:val="24"/>
                <w:rtl/>
              </w:rPr>
            </w:pPr>
            <w:r>
              <w:rPr>
                <w:sz w:val="24"/>
                <w:rtl/>
              </w:rPr>
              <w:t>חובות מפקד ופעיל גיוס</w:t>
            </w:r>
          </w:p>
        </w:tc>
        <w:tc>
          <w:tcPr>
            <w:tcW w:w="1247" w:type="dxa"/>
          </w:tcPr>
          <w:p w:rsidR="00A5674D" w:rsidRDefault="00A5674D">
            <w:pPr>
              <w:spacing w:line="240" w:lineRule="auto"/>
              <w:rPr>
                <w:sz w:val="24"/>
              </w:rPr>
            </w:pPr>
            <w:r>
              <w:rPr>
                <w:sz w:val="24"/>
                <w:rtl/>
              </w:rPr>
              <w:t xml:space="preserve">סעיף 7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5674D" w:rsidRDefault="00A5674D">
            <w:pPr>
              <w:spacing w:line="240" w:lineRule="auto"/>
              <w:rPr>
                <w:sz w:val="24"/>
              </w:rPr>
            </w:pPr>
            <w:hyperlink w:anchor="Seif7" w:tooltip="שמירת דינים" w:history="1">
              <w:r>
                <w:rPr>
                  <w:rStyle w:val="Hyperlink"/>
                </w:rPr>
                <w:t>Go</w:t>
              </w:r>
            </w:hyperlink>
          </w:p>
        </w:tc>
        <w:tc>
          <w:tcPr>
            <w:tcW w:w="5669" w:type="dxa"/>
          </w:tcPr>
          <w:p w:rsidR="00A5674D" w:rsidRDefault="00A5674D">
            <w:pPr>
              <w:spacing w:line="240" w:lineRule="auto"/>
              <w:rPr>
                <w:sz w:val="24"/>
                <w:rtl/>
              </w:rPr>
            </w:pPr>
            <w:r>
              <w:rPr>
                <w:sz w:val="24"/>
                <w:rtl/>
              </w:rPr>
              <w:t>שמירת דינים</w:t>
            </w:r>
          </w:p>
        </w:tc>
        <w:tc>
          <w:tcPr>
            <w:tcW w:w="1247" w:type="dxa"/>
          </w:tcPr>
          <w:p w:rsidR="00A5674D" w:rsidRDefault="00A5674D">
            <w:pPr>
              <w:spacing w:line="240" w:lineRule="auto"/>
              <w:rPr>
                <w:sz w:val="24"/>
              </w:rPr>
            </w:pPr>
            <w:r>
              <w:rPr>
                <w:sz w:val="24"/>
                <w:rtl/>
              </w:rPr>
              <w:t xml:space="preserve">סעיף 8 </w:t>
            </w:r>
          </w:p>
        </w:tc>
      </w:tr>
      <w:tr w:rsidR="00A5674D">
        <w:tblPrEx>
          <w:tblCellMar>
            <w:top w:w="0" w:type="dxa"/>
            <w:bottom w:w="0" w:type="dxa"/>
          </w:tblCellMar>
        </w:tblPrEx>
        <w:tc>
          <w:tcPr>
            <w:tcW w:w="850" w:type="dxa"/>
          </w:tcPr>
          <w:p w:rsidR="00A5674D" w:rsidRDefault="00A5674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5674D" w:rsidRDefault="00A5674D">
            <w:pPr>
              <w:spacing w:line="240" w:lineRule="auto"/>
              <w:rPr>
                <w:sz w:val="24"/>
              </w:rPr>
            </w:pPr>
            <w:hyperlink w:anchor="med0" w:tooltip="תוספת" w:history="1">
              <w:r>
                <w:rPr>
                  <w:rStyle w:val="Hyperlink"/>
                </w:rPr>
                <w:t>Go</w:t>
              </w:r>
            </w:hyperlink>
          </w:p>
        </w:tc>
        <w:tc>
          <w:tcPr>
            <w:tcW w:w="5669" w:type="dxa"/>
          </w:tcPr>
          <w:p w:rsidR="00A5674D" w:rsidRDefault="00A5674D">
            <w:pPr>
              <w:spacing w:line="240" w:lineRule="auto"/>
              <w:rPr>
                <w:sz w:val="24"/>
              </w:rPr>
            </w:pPr>
            <w:r>
              <w:rPr>
                <w:sz w:val="24"/>
                <w:rtl/>
              </w:rPr>
              <w:t>תוספת</w:t>
            </w:r>
          </w:p>
        </w:tc>
        <w:tc>
          <w:tcPr>
            <w:tcW w:w="1247" w:type="dxa"/>
          </w:tcPr>
          <w:p w:rsidR="00A5674D" w:rsidRDefault="00A5674D">
            <w:pPr>
              <w:spacing w:line="240" w:lineRule="auto"/>
              <w:rPr>
                <w:sz w:val="24"/>
              </w:rPr>
            </w:pPr>
          </w:p>
        </w:tc>
      </w:tr>
    </w:tbl>
    <w:p w:rsidR="00A5674D" w:rsidRDefault="00A5674D">
      <w:pPr>
        <w:pStyle w:val="big-header"/>
        <w:ind w:left="0" w:right="1134"/>
        <w:rPr>
          <w:rtl/>
        </w:rPr>
      </w:pPr>
    </w:p>
    <w:p w:rsidR="00A5674D" w:rsidRPr="005912F1" w:rsidRDefault="00A5674D" w:rsidP="005912F1">
      <w:pPr>
        <w:pStyle w:val="big-header"/>
        <w:ind w:left="0" w:right="1134"/>
        <w:rPr>
          <w:rStyle w:val="default"/>
          <w:rFonts w:cs="FrankRuehl" w:hint="cs"/>
          <w:szCs w:val="32"/>
          <w:rtl/>
        </w:rPr>
      </w:pPr>
      <w:r>
        <w:rPr>
          <w:rtl/>
        </w:rPr>
        <w:br w:type="page"/>
      </w:r>
      <w:r>
        <w:rPr>
          <w:rtl/>
        </w:rPr>
        <w:lastRenderedPageBreak/>
        <w:t>ת</w:t>
      </w:r>
      <w:r>
        <w:rPr>
          <w:rFonts w:hint="cs"/>
          <w:rtl/>
        </w:rPr>
        <w:t>קנות שירות בטחון (יציאת אנשי מילואים לחוץ לארץ), תשנ"ב-1992</w:t>
      </w:r>
      <w:r>
        <w:rPr>
          <w:rStyle w:val="default"/>
          <w:rtl/>
        </w:rPr>
        <w:footnoteReference w:customMarkFollows="1" w:id="1"/>
        <w:t>*</w:t>
      </w:r>
    </w:p>
    <w:p w:rsidR="00A5674D" w:rsidRDefault="00A5674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33, 43, 43ב ו-57 לחוק שירות בטחון [נוסח משול</w:t>
      </w:r>
      <w:r>
        <w:rPr>
          <w:rStyle w:val="default"/>
          <w:rFonts w:cs="FrankRuehl"/>
          <w:rtl/>
        </w:rPr>
        <w:t>ב</w:t>
      </w:r>
      <w:r>
        <w:rPr>
          <w:rStyle w:val="default"/>
          <w:rFonts w:cs="FrankRuehl" w:hint="cs"/>
          <w:rtl/>
        </w:rPr>
        <w:t>], תשמ"ו-1986 (להלן - החוק), ולאחר התייעצות עם שר החוץ, ולענין תקנה 7 באישור ועדת החוץ והבטחון של הכנסת, אני מתקין תקנות אלה:</w:t>
      </w:r>
    </w:p>
    <w:p w:rsidR="00A5674D" w:rsidRDefault="00A5674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6pt;z-index:251653632"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איש מילואים" - יוצא צבא הנמנה עם כוחות המילואים של צבא הגנה לישראל, שעה שאינו בשירות;</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הבט</w:t>
      </w:r>
      <w:r>
        <w:rPr>
          <w:rStyle w:val="default"/>
          <w:rFonts w:cs="FrankRuehl"/>
          <w:rtl/>
        </w:rPr>
        <w:t>ח</w:t>
      </w:r>
      <w:r>
        <w:rPr>
          <w:rStyle w:val="default"/>
          <w:rFonts w:cs="FrankRuehl" w:hint="cs"/>
          <w:rtl/>
        </w:rPr>
        <w:t>ון או מי שהוא הסמיכו לענין תקנות אלה;</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מפקד" - איש מילואים הממלא תפקיד פיקודי ברמת מפקד פלוגה או תפקיד מקביל לו שהגדיר מפקד היחידה או תפקיד חיוני אחר</w:t>
      </w:r>
      <w:r>
        <w:rPr>
          <w:rtl/>
        </w:rPr>
        <w:t> </w:t>
      </w:r>
      <w:r>
        <w:rPr>
          <w:rStyle w:val="default"/>
          <w:rFonts w:cs="FrankRuehl"/>
          <w:rtl/>
        </w:rPr>
        <w:t xml:space="preserve"> </w:t>
      </w:r>
      <w:r>
        <w:rPr>
          <w:rStyle w:val="default"/>
          <w:rFonts w:cs="FrankRuehl" w:hint="cs"/>
          <w:rtl/>
        </w:rPr>
        <w:t>ביחידתו;</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פעיל גיוס" - איש מילואים הממלא תפקיד שהוגדר בידי מפקד היחידה כראש אזור או ראש ציר הפצה, או ב</w:t>
      </w:r>
      <w:r>
        <w:rPr>
          <w:rStyle w:val="default"/>
          <w:rFonts w:cs="FrankRuehl"/>
          <w:rtl/>
        </w:rPr>
        <w:t>ע</w:t>
      </w:r>
      <w:r>
        <w:rPr>
          <w:rStyle w:val="default"/>
          <w:rFonts w:cs="FrankRuehl" w:hint="cs"/>
          <w:rtl/>
        </w:rPr>
        <w:t>ל תפקיד חיוני אחר במערך הגיוס של יחידתו;</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פקודות הצבא" - כהגדרתן בסעיף 1 לחוק השיפוט הצבאי,</w:t>
      </w:r>
      <w:r>
        <w:rPr>
          <w:rStyle w:val="default"/>
          <w:rFonts w:cs="FrankRuehl"/>
          <w:rtl/>
        </w:rPr>
        <w:t xml:space="preserve"> </w:t>
      </w:r>
      <w:r>
        <w:rPr>
          <w:rStyle w:val="default"/>
          <w:rFonts w:cs="FrankRuehl" w:hint="cs"/>
          <w:rtl/>
        </w:rPr>
        <w:t>תשט"ו-1955.</w:t>
      </w:r>
    </w:p>
    <w:p w:rsidR="00A5674D" w:rsidRDefault="00A5674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75pt;z-index:251654656"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ר</w:t>
                  </w:r>
                  <w:r>
                    <w:rPr>
                      <w:rFonts w:cs="Miriam" w:hint="cs"/>
                      <w:szCs w:val="18"/>
                      <w:rtl/>
                    </w:rPr>
                    <w:t>ישום המוטבע בדרכון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סעיף 43(ג) לחוק, רישום הינו רישום מיוחד, המוטבע בחותמת או בדרך אחרת שאישר שר הפנים, בדרכונו של איש מילואים, והמעי</w:t>
      </w:r>
      <w:r>
        <w:rPr>
          <w:rStyle w:val="default"/>
          <w:rFonts w:cs="FrankRuehl"/>
          <w:rtl/>
        </w:rPr>
        <w:t>ד</w:t>
      </w:r>
      <w:r>
        <w:rPr>
          <w:rStyle w:val="default"/>
          <w:rFonts w:cs="FrankRuehl" w:hint="cs"/>
          <w:rtl/>
        </w:rPr>
        <w:t xml:space="preserve"> על היותו נמנה עם כוחות המילואים.</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כאמור בתקנת משנה (א) ייעשה בידי השר.</w:t>
      </w:r>
    </w:p>
    <w:p w:rsidR="00A5674D" w:rsidRDefault="00A5674D">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4.15pt;z-index:251655680" o:allowincell="f" filled="f" stroked="f" strokecolor="lime" strokeweight=".25pt">
            <v:textbox inset="0,0,0,0">
              <w:txbxContent>
                <w:p w:rsidR="00A5674D" w:rsidRDefault="00A5674D">
                  <w:pPr>
                    <w:spacing w:line="160" w:lineRule="exact"/>
                    <w:jc w:val="left"/>
                    <w:rPr>
                      <w:rFonts w:cs="Miriam" w:hint="cs"/>
                      <w:szCs w:val="18"/>
                      <w:rtl/>
                    </w:rPr>
                  </w:pPr>
                  <w:r>
                    <w:rPr>
                      <w:rFonts w:cs="Miriam"/>
                      <w:szCs w:val="18"/>
                      <w:rtl/>
                    </w:rPr>
                    <w:t>ה</w:t>
                  </w:r>
                  <w:r>
                    <w:rPr>
                      <w:rFonts w:cs="Miriam" w:hint="cs"/>
                      <w:szCs w:val="18"/>
                      <w:rtl/>
                    </w:rPr>
                    <w:t>גבלת יציאה לארצות מסוימ</w:t>
                  </w:r>
                  <w:r>
                    <w:rPr>
                      <w:rFonts w:cs="Miriam"/>
                      <w:szCs w:val="18"/>
                      <w:rtl/>
                    </w:rPr>
                    <w:t>ו</w:t>
                  </w:r>
                  <w:r>
                    <w:rPr>
                      <w:rFonts w:cs="Miriam" w:hint="cs"/>
                      <w:szCs w:val="18"/>
                      <w:rtl/>
                    </w:rPr>
                    <w:t xml:space="preserve">ת </w:t>
                  </w:r>
                </w:p>
                <w:p w:rsidR="00A5674D" w:rsidRDefault="00A5674D">
                  <w:pPr>
                    <w:spacing w:line="160" w:lineRule="exact"/>
                    <w:jc w:val="left"/>
                    <w:rPr>
                      <w:rFonts w:cs="Miriam"/>
                      <w:noProof/>
                      <w:szCs w:val="18"/>
                      <w:rtl/>
                    </w:rPr>
                  </w:pPr>
                  <w:r>
                    <w:rPr>
                      <w:rFonts w:cs="Miriam" w:hint="cs"/>
                      <w:szCs w:val="18"/>
                      <w:rtl/>
                    </w:rPr>
                    <w:t>תק' תשנ"ז-1996</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יצא איש מילואים לארצות המפורטות בחלק א' בתוספת ולא ייכנס אליהן בכל דרך שהיא, אלא אם כן בנוסף לרישום בדרכונו יהיה בידו היתר</w:t>
      </w:r>
      <w:r>
        <w:rPr>
          <w:rStyle w:val="default"/>
          <w:rFonts w:cs="FrankRuehl"/>
          <w:rtl/>
        </w:rPr>
        <w:t xml:space="preserve"> </w:t>
      </w:r>
      <w:r>
        <w:rPr>
          <w:rStyle w:val="default"/>
          <w:rFonts w:cs="FrankRuehl" w:hint="cs"/>
          <w:rtl/>
        </w:rPr>
        <w:t>יציאה מטעם השר.</w:t>
      </w:r>
    </w:p>
    <w:p w:rsidR="00A5674D" w:rsidRDefault="00A5674D">
      <w:pPr>
        <w:pStyle w:val="P00"/>
        <w:spacing w:before="0"/>
        <w:ind w:left="0" w:right="1134"/>
        <w:rPr>
          <w:rFonts w:hint="cs"/>
          <w:b/>
          <w:bCs/>
          <w:vanish/>
          <w:szCs w:val="20"/>
          <w:shd w:val="clear" w:color="auto" w:fill="FFFF99"/>
          <w:rtl/>
        </w:rPr>
      </w:pPr>
      <w:bookmarkStart w:id="3" w:name="Rov14"/>
      <w:r>
        <w:rPr>
          <w:rFonts w:hint="cs"/>
          <w:vanish/>
          <w:color w:val="FF0000"/>
          <w:szCs w:val="20"/>
          <w:shd w:val="clear" w:color="auto" w:fill="FFFF99"/>
          <w:rtl/>
        </w:rPr>
        <w:t>מיום 19.9.1996</w:t>
      </w:r>
    </w:p>
    <w:p w:rsidR="00A5674D" w:rsidRDefault="00A5674D">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תשנ"ז-1996</w:t>
      </w:r>
    </w:p>
    <w:p w:rsidR="00A5674D" w:rsidRDefault="00A5674D">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תשנ"ז מס' 5784</w:t>
        </w:r>
      </w:hyperlink>
      <w:r>
        <w:rPr>
          <w:rFonts w:hint="cs"/>
          <w:vanish/>
          <w:szCs w:val="20"/>
          <w:shd w:val="clear" w:color="auto" w:fill="FFFF99"/>
          <w:rtl/>
        </w:rPr>
        <w:t xml:space="preserve"> מיום 19.9.1996 עמ' 2</w:t>
      </w:r>
    </w:p>
    <w:p w:rsidR="00A5674D" w:rsidRDefault="00A5674D">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3</w:t>
      </w:r>
    </w:p>
    <w:p w:rsidR="00A5674D" w:rsidRDefault="00A5674D">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A5674D" w:rsidRDefault="00A5674D">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 xml:space="preserve">לא ייצא איש מילואים לארצות כמפורט להלן ולא ייכנס אליהן בכל דרך שהיא, אלא אם כן בנוסף לרישום בדרכונו יהיה בידו גם </w:t>
      </w:r>
      <w:r>
        <w:rPr>
          <w:strike/>
          <w:vanish/>
          <w:sz w:val="22"/>
          <w:szCs w:val="22"/>
          <w:shd w:val="clear" w:color="auto" w:fill="FFFF99"/>
          <w:rtl/>
        </w:rPr>
        <w:t>–</w:t>
      </w:r>
      <w:r>
        <w:rPr>
          <w:rFonts w:hint="cs"/>
          <w:strike/>
          <w:vanish/>
          <w:sz w:val="22"/>
          <w:szCs w:val="22"/>
          <w:shd w:val="clear" w:color="auto" w:fill="FFFF99"/>
          <w:rtl/>
        </w:rPr>
        <w:t xml:space="preserve"> </w:t>
      </w:r>
    </w:p>
    <w:p w:rsidR="00A5674D" w:rsidRDefault="00A5674D">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 xml:space="preserve">לארצות המפורטות בחלק א' בתוספת </w:t>
      </w:r>
      <w:r>
        <w:rPr>
          <w:strike/>
          <w:vanish/>
          <w:sz w:val="22"/>
          <w:szCs w:val="22"/>
          <w:shd w:val="clear" w:color="auto" w:fill="FFFF99"/>
          <w:rtl/>
        </w:rPr>
        <w:t>–</w:t>
      </w:r>
      <w:r>
        <w:rPr>
          <w:rFonts w:hint="cs"/>
          <w:strike/>
          <w:vanish/>
          <w:sz w:val="22"/>
          <w:szCs w:val="22"/>
          <w:shd w:val="clear" w:color="auto" w:fill="FFFF99"/>
          <w:rtl/>
        </w:rPr>
        <w:t xml:space="preserve"> היתר יציאה מאת השר;</w:t>
      </w:r>
    </w:p>
    <w:p w:rsidR="00A5674D" w:rsidRDefault="00A5674D">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 xml:space="preserve">לארצות המפורטות בחלק ב' בתוספת </w:t>
      </w:r>
      <w:r>
        <w:rPr>
          <w:strike/>
          <w:vanish/>
          <w:sz w:val="22"/>
          <w:szCs w:val="22"/>
          <w:shd w:val="clear" w:color="auto" w:fill="FFFF99"/>
          <w:rtl/>
        </w:rPr>
        <w:t>–</w:t>
      </w:r>
      <w:r>
        <w:rPr>
          <w:rFonts w:hint="cs"/>
          <w:strike/>
          <w:vanish/>
          <w:sz w:val="22"/>
          <w:szCs w:val="22"/>
          <w:shd w:val="clear" w:color="auto" w:fill="FFFF99"/>
          <w:rtl/>
        </w:rPr>
        <w:t xml:space="preserve"> היתר יציאה מאת מי שנקבע לכך בפקודות הצבא.</w:t>
      </w:r>
      <w:bookmarkEnd w:id="3"/>
    </w:p>
    <w:p w:rsidR="00A5674D" w:rsidRDefault="00A5674D">
      <w:pPr>
        <w:pStyle w:val="page"/>
        <w:widowControl/>
        <w:ind w:right="1134"/>
        <w:rPr>
          <w:rStyle w:val="default"/>
          <w:rFonts w:cs="FrankRuehl" w:hint="cs"/>
          <w:rtl/>
        </w:rPr>
      </w:pPr>
      <w:bookmarkStart w:id="4" w:name="Seif3"/>
      <w:bookmarkEnd w:id="4"/>
      <w:r>
        <w:rPr>
          <w:lang w:val="he-IL"/>
        </w:rPr>
        <w:pict>
          <v:rect id="_x0000_s1029" style="position:absolute;left:0;text-align:left;margin-left:464.5pt;margin-top:8.05pt;width:75.05pt;height:25pt;z-index:251656704" o:allowincell="f" filled="f" stroked="f" strokecolor="lime" strokeweight=".25pt">
            <v:textbox inset="0,0,0,0">
              <w:txbxContent>
                <w:p w:rsidR="00A5674D" w:rsidRDefault="00A5674D">
                  <w:pPr>
                    <w:spacing w:line="160" w:lineRule="exact"/>
                    <w:jc w:val="left"/>
                    <w:rPr>
                      <w:rFonts w:cs="Miriam" w:hint="cs"/>
                      <w:szCs w:val="18"/>
                      <w:rtl/>
                    </w:rPr>
                  </w:pPr>
                  <w:r>
                    <w:rPr>
                      <w:rFonts w:cs="Miriam"/>
                      <w:szCs w:val="18"/>
                      <w:rtl/>
                    </w:rPr>
                    <w:t>ה</w:t>
                  </w:r>
                  <w:r>
                    <w:rPr>
                      <w:rFonts w:cs="Miriam" w:hint="cs"/>
                      <w:szCs w:val="18"/>
                      <w:rtl/>
                    </w:rPr>
                    <w:t>גבלת א</w:t>
                  </w:r>
                  <w:r>
                    <w:rPr>
                      <w:rFonts w:cs="Miriam"/>
                      <w:szCs w:val="18"/>
                      <w:rtl/>
                    </w:rPr>
                    <w:t>נ</w:t>
                  </w:r>
                  <w:r>
                    <w:rPr>
                      <w:rFonts w:cs="Miriam" w:hint="cs"/>
                      <w:szCs w:val="18"/>
                      <w:rtl/>
                    </w:rPr>
                    <w:t xml:space="preserve">שי מילואים מסוימים </w:t>
                  </w:r>
                </w:p>
                <w:p w:rsidR="00A5674D" w:rsidRDefault="00A5674D">
                  <w:pPr>
                    <w:spacing w:line="160" w:lineRule="exact"/>
                    <w:jc w:val="left"/>
                    <w:rPr>
                      <w:rFonts w:cs="Miriam"/>
                      <w:noProof/>
                      <w:szCs w:val="18"/>
                      <w:rtl/>
                    </w:rPr>
                  </w:pPr>
                  <w:r>
                    <w:rPr>
                      <w:rFonts w:cs="Miriam" w:hint="cs"/>
                      <w:szCs w:val="18"/>
                      <w:rtl/>
                    </w:rPr>
                    <w:t>תק' תשנ"ז-1996</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יש מילואים המוצב ביחידה שקבע השר ושצוינה בפקודות הצבא, או הממלא בה תפקיד שנקבע וצוין כאמור, המבקש לצאת לארצות המפורטות בחלק ב' בתוספת, יהיה חייב להתייצב ביחידתו לש</w:t>
      </w:r>
      <w:r>
        <w:rPr>
          <w:rStyle w:val="default"/>
          <w:rFonts w:cs="FrankRuehl"/>
          <w:rtl/>
        </w:rPr>
        <w:t>ם</w:t>
      </w:r>
      <w:r>
        <w:rPr>
          <w:rStyle w:val="default"/>
          <w:rFonts w:cs="FrankRuehl" w:hint="cs"/>
          <w:rtl/>
        </w:rPr>
        <w:t xml:space="preserve"> קבלת תדריך והיתר לפי סעיף 43א(א) לחוק; החובה לפי תקנה זו תחול על מי שקיבל לענינה הודעה בכתב מיחידתו.</w:t>
      </w:r>
    </w:p>
    <w:p w:rsidR="00A5674D" w:rsidRDefault="00A5674D">
      <w:pPr>
        <w:pStyle w:val="P00"/>
        <w:spacing w:before="0"/>
        <w:ind w:left="0" w:right="1134"/>
        <w:rPr>
          <w:rFonts w:hint="cs"/>
          <w:b/>
          <w:bCs/>
          <w:vanish/>
          <w:szCs w:val="20"/>
          <w:shd w:val="clear" w:color="auto" w:fill="FFFF99"/>
          <w:rtl/>
        </w:rPr>
      </w:pPr>
      <w:bookmarkStart w:id="5" w:name="Rov13"/>
      <w:r>
        <w:rPr>
          <w:rFonts w:hint="cs"/>
          <w:vanish/>
          <w:color w:val="FF0000"/>
          <w:szCs w:val="20"/>
          <w:shd w:val="clear" w:color="auto" w:fill="FFFF99"/>
          <w:rtl/>
        </w:rPr>
        <w:t>מיום 19.9.1996</w:t>
      </w:r>
    </w:p>
    <w:p w:rsidR="00A5674D" w:rsidRDefault="00A5674D">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תשנ"ז-1996</w:t>
      </w:r>
    </w:p>
    <w:p w:rsidR="00A5674D" w:rsidRDefault="00A5674D">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תשנ"ז מס' 5784</w:t>
        </w:r>
      </w:hyperlink>
      <w:r>
        <w:rPr>
          <w:rFonts w:hint="cs"/>
          <w:vanish/>
          <w:szCs w:val="20"/>
          <w:shd w:val="clear" w:color="auto" w:fill="FFFF99"/>
          <w:rtl/>
        </w:rPr>
        <w:t xml:space="preserve"> מיום 19.9.1996 עמ' 3</w:t>
      </w:r>
    </w:p>
    <w:p w:rsidR="00A5674D" w:rsidRDefault="00A5674D">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4</w:t>
      </w:r>
    </w:p>
    <w:p w:rsidR="00A5674D" w:rsidRDefault="00A5674D">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A5674D" w:rsidRDefault="00A5674D">
      <w:pPr>
        <w:pStyle w:val="P00"/>
        <w:tabs>
          <w:tab w:val="clear" w:pos="6259"/>
        </w:tabs>
        <w:spacing w:before="0"/>
        <w:ind w:left="0" w:right="1134"/>
        <w:rPr>
          <w:rFonts w:hint="cs"/>
          <w:strike/>
          <w:sz w:val="2"/>
          <w:szCs w:val="2"/>
          <w:rtl/>
        </w:rPr>
      </w:pPr>
      <w:r>
        <w:rPr>
          <w:rFonts w:hint="cs"/>
          <w:strike/>
          <w:vanish/>
          <w:sz w:val="22"/>
          <w:szCs w:val="22"/>
          <w:shd w:val="clear" w:color="auto" w:fill="FFFF99"/>
          <w:rtl/>
        </w:rPr>
        <w:t>4.</w:t>
      </w:r>
      <w:r>
        <w:rPr>
          <w:rFonts w:hint="cs"/>
          <w:strike/>
          <w:vanish/>
          <w:sz w:val="22"/>
          <w:szCs w:val="22"/>
          <w:shd w:val="clear" w:color="auto" w:fill="FFFF99"/>
          <w:rtl/>
        </w:rPr>
        <w:tab/>
        <w:t>איש מילואים המוצב ביחידה שקבע שר הבטחון ושצוינה בפקודות הצבא, או הממלא בה תפקיד שנקבע וצוין כאמור, המבקש לצאת לארצות שפורטו שם, יהיה חייב להתייצב ביחידתו לשם קבלת תדריך והיתר לפי סעיף 43א(א) לחוק; החובה לפי תקנה זו תחול על מי שקיבל לעניינה הודעה בכתב מיחידתו.</w:t>
      </w:r>
      <w:bookmarkEnd w:id="5"/>
    </w:p>
    <w:p w:rsidR="00A5674D" w:rsidRDefault="00A5674D">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8.2pt;z-index:251657728"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ה</w:t>
                  </w:r>
                  <w:r>
                    <w:rPr>
                      <w:rFonts w:cs="Miriam" w:hint="cs"/>
                      <w:szCs w:val="18"/>
                      <w:rtl/>
                    </w:rPr>
                    <w:t>גבל</w:t>
                  </w:r>
                  <w:r>
                    <w:rPr>
                      <w:rFonts w:cs="Miriam"/>
                      <w:szCs w:val="18"/>
                      <w:rtl/>
                    </w:rPr>
                    <w:t>ת</w:t>
                  </w:r>
                  <w:r>
                    <w:rPr>
                      <w:rFonts w:cs="Miriam" w:hint="cs"/>
                      <w:szCs w:val="18"/>
                      <w:rtl/>
                    </w:rPr>
                    <w:t xml:space="preserve"> יציאה בשל הליכים משפטיים</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בלי לגרוע מהוראות תקנות 3 ו-4, לא יצא לחוץ לארץ איש מילואים שהוגש נגדו כתב אישום בבית דין צבאי, כל עוד לא נסתיימו ה</w:t>
      </w:r>
      <w:r>
        <w:rPr>
          <w:rStyle w:val="default"/>
          <w:rFonts w:cs="FrankRuehl"/>
          <w:rtl/>
        </w:rPr>
        <w:t>ה</w:t>
      </w:r>
      <w:r>
        <w:rPr>
          <w:rStyle w:val="default"/>
          <w:rFonts w:cs="FrankRuehl" w:hint="cs"/>
          <w:rtl/>
        </w:rPr>
        <w:t>ליכים המשפטיים נגדו, אלא אם כן בנוסף לרישום בדרכונו, בידיו גם היתר יציאה מאת מי שנקבע לכך בפקודות הצבא.</w:t>
      </w:r>
    </w:p>
    <w:p w:rsidR="00A5674D" w:rsidRDefault="00A5674D">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3.5pt;z-index:251658752"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ה</w:t>
                  </w:r>
                  <w:r>
                    <w:rPr>
                      <w:rFonts w:cs="Miriam" w:hint="cs"/>
                      <w:szCs w:val="18"/>
                      <w:rtl/>
                    </w:rPr>
                    <w:t>י</w:t>
                  </w:r>
                  <w:r>
                    <w:rPr>
                      <w:rFonts w:cs="Miriam"/>
                      <w:szCs w:val="18"/>
                      <w:rtl/>
                    </w:rPr>
                    <w:t>ת</w:t>
                  </w:r>
                  <w:r>
                    <w:rPr>
                      <w:rFonts w:cs="Miriam" w:hint="cs"/>
                      <w:szCs w:val="18"/>
                      <w:rtl/>
                    </w:rPr>
                    <w:t>ר מותנה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יתר יציאה לפי תקנות 3, 4 ו-5 יכול שיהיה מותנה בתנאים, בסייגים ובהגבלות.</w:t>
      </w:r>
    </w:p>
    <w:p w:rsidR="00A5674D" w:rsidRDefault="00A5674D">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15.95pt;z-index:251659776"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ח</w:t>
                  </w:r>
                  <w:r>
                    <w:rPr>
                      <w:rFonts w:cs="Miriam" w:hint="cs"/>
                      <w:szCs w:val="18"/>
                      <w:rtl/>
                    </w:rPr>
                    <w:t>ובות מפקד ופעיל גיוס</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יצא מפקד או פעיל גיוס לחוץ</w:t>
      </w:r>
      <w:r>
        <w:rPr>
          <w:rStyle w:val="default"/>
          <w:rFonts w:cs="FrankRuehl"/>
          <w:rtl/>
        </w:rPr>
        <w:t xml:space="preserve"> </w:t>
      </w:r>
      <w:r>
        <w:rPr>
          <w:rStyle w:val="default"/>
          <w:rFonts w:cs="FrankRuehl" w:hint="cs"/>
          <w:rtl/>
        </w:rPr>
        <w:t>לארץ אלא אם כן מסר ליחידתו הודעה מוקדמת על כך בטלפון או בכתב, שבעה ימים לפחות לפני מועד יציאתו.</w:t>
      </w:r>
    </w:p>
    <w:p w:rsidR="00A5674D" w:rsidRDefault="00A567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מפקד יחידתו של איש מילואים או מי שהוא הסמיכו לכך יודיע לאיש המילואים הממלא תפקיד מפקד או פעיל גיוס, את החובה המוטלת עליו מכוח תקנה זו.</w:t>
      </w:r>
    </w:p>
    <w:p w:rsidR="00A5674D" w:rsidRDefault="00A5674D">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8pt;z-index:251660800" o:allowincell="f" filled="f" stroked="f" strokecolor="lime" strokeweight=".25pt">
            <v:textbox inset="0,0,0,0">
              <w:txbxContent>
                <w:p w:rsidR="00A5674D" w:rsidRDefault="00A5674D">
                  <w:pPr>
                    <w:spacing w:line="160" w:lineRule="exact"/>
                    <w:jc w:val="left"/>
                    <w:rPr>
                      <w:rFonts w:cs="Miriam"/>
                      <w:noProof/>
                      <w:szCs w:val="18"/>
                      <w:rtl/>
                    </w:rPr>
                  </w:pPr>
                  <w:r>
                    <w:rPr>
                      <w:rFonts w:cs="Miriam"/>
                      <w:szCs w:val="18"/>
                      <w:rtl/>
                    </w:rPr>
                    <w:t>ש</w:t>
                  </w:r>
                  <w:r>
                    <w:rPr>
                      <w:rFonts w:cs="Miriam" w:hint="cs"/>
                      <w:szCs w:val="18"/>
                      <w:rtl/>
                    </w:rPr>
                    <w:t>מירת די</w:t>
                  </w:r>
                  <w:r>
                    <w:rPr>
                      <w:rFonts w:cs="Miriam"/>
                      <w:szCs w:val="18"/>
                      <w:rtl/>
                    </w:rPr>
                    <w:t>נ</w:t>
                  </w:r>
                  <w:r>
                    <w:rPr>
                      <w:rFonts w:cs="Miriam" w:hint="cs"/>
                      <w:szCs w:val="18"/>
                      <w:rtl/>
                    </w:rPr>
                    <w:t>ים</w:t>
                  </w:r>
                </w:p>
              </w:txbxContent>
            </v:textbox>
            <w10:anchorlock/>
          </v:rect>
        </w:pict>
      </w:r>
      <w:r>
        <w:rPr>
          <w:rStyle w:val="big-number"/>
          <w:rtl/>
        </w:rPr>
        <w:t>8.</w:t>
      </w:r>
      <w:r>
        <w:rPr>
          <w:rStyle w:val="big-number"/>
          <w:rtl/>
        </w:rPr>
        <w:tab/>
      </w:r>
      <w:r>
        <w:rPr>
          <w:rStyle w:val="default"/>
          <w:rFonts w:cs="FrankRuehl"/>
          <w:rtl/>
        </w:rPr>
        <w:t>הו</w:t>
      </w:r>
      <w:r>
        <w:rPr>
          <w:rStyle w:val="default"/>
          <w:rFonts w:cs="FrankRuehl" w:hint="cs"/>
          <w:rtl/>
        </w:rPr>
        <w:t>ראות תקנות אלה באות להוסיף על הוראות כל דין, לרבות פקודות הצבא, ולא לגרוע מהן.</w:t>
      </w:r>
    </w:p>
    <w:p w:rsidR="00A5674D" w:rsidRDefault="00A5674D">
      <w:pPr>
        <w:pStyle w:val="P00"/>
        <w:spacing w:before="72"/>
        <w:ind w:left="0" w:right="1134"/>
        <w:rPr>
          <w:rStyle w:val="default"/>
          <w:rFonts w:cs="FrankRuehl"/>
          <w:rtl/>
        </w:rPr>
      </w:pPr>
    </w:p>
    <w:p w:rsidR="00A5674D" w:rsidRDefault="00A5674D">
      <w:pPr>
        <w:pStyle w:val="medium2-header"/>
        <w:keepLines w:val="0"/>
        <w:spacing w:before="72"/>
        <w:ind w:left="0" w:right="1134"/>
        <w:rPr>
          <w:noProof/>
          <w:sz w:val="20"/>
          <w:rtl/>
        </w:rPr>
      </w:pPr>
      <w:bookmarkStart w:id="10" w:name="med0"/>
      <w:bookmarkEnd w:id="10"/>
      <w:r>
        <w:rPr>
          <w:noProof/>
          <w:sz w:val="20"/>
          <w:lang w:val="he-IL"/>
        </w:rPr>
        <w:pict>
          <v:rect id="_x0000_s1034" style="position:absolute;left:0;text-align:left;margin-left:464.5pt;margin-top:8.05pt;width:75.05pt;height:8pt;z-index:251661824" o:allowincell="f" filled="f" stroked="f" strokecolor="lime" strokeweight=".25pt">
            <v:textbox inset="0,0,0,0">
              <w:txbxContent>
                <w:p w:rsidR="00A5674D" w:rsidRDefault="00A5674D">
                  <w:pPr>
                    <w:spacing w:line="160" w:lineRule="exact"/>
                    <w:jc w:val="left"/>
                    <w:rPr>
                      <w:rFonts w:cs="Miriam"/>
                      <w:noProof/>
                      <w:szCs w:val="18"/>
                      <w:rtl/>
                    </w:rPr>
                  </w:pPr>
                  <w:r>
                    <w:rPr>
                      <w:rFonts w:cs="Miriam"/>
                      <w:sz w:val="20"/>
                      <w:szCs w:val="18"/>
                      <w:rtl/>
                    </w:rPr>
                    <w:t>ת</w:t>
                  </w:r>
                  <w:r>
                    <w:rPr>
                      <w:rFonts w:cs="Miriam" w:hint="cs"/>
                      <w:sz w:val="20"/>
                      <w:szCs w:val="18"/>
                      <w:rtl/>
                    </w:rPr>
                    <w:t>ק' תשנ"ז-1996</w:t>
                  </w:r>
                </w:p>
              </w:txbxContent>
            </v:textbox>
            <w10:anchorlock/>
          </v:rect>
        </w:pict>
      </w:r>
      <w:r>
        <w:rPr>
          <w:noProof/>
          <w:sz w:val="20"/>
          <w:rtl/>
        </w:rPr>
        <w:t>ת</w:t>
      </w:r>
      <w:r>
        <w:rPr>
          <w:rFonts w:hint="cs"/>
          <w:noProof/>
          <w:sz w:val="20"/>
          <w:rtl/>
        </w:rPr>
        <w:t>וספת</w:t>
      </w:r>
    </w:p>
    <w:p w:rsidR="00A5674D" w:rsidRPr="007F1D50" w:rsidRDefault="00A5674D" w:rsidP="007F1D50">
      <w:pPr>
        <w:pStyle w:val="P00"/>
        <w:spacing w:before="72"/>
        <w:ind w:left="0" w:right="1134"/>
        <w:jc w:val="center"/>
        <w:rPr>
          <w:rStyle w:val="default"/>
          <w:rFonts w:cs="FrankRuehl"/>
          <w:sz w:val="24"/>
          <w:szCs w:val="24"/>
          <w:rtl/>
        </w:rPr>
      </w:pPr>
      <w:r w:rsidRPr="007F1D50">
        <w:rPr>
          <w:rStyle w:val="default"/>
          <w:rFonts w:cs="FrankRuehl"/>
          <w:sz w:val="24"/>
          <w:szCs w:val="24"/>
          <w:rtl/>
        </w:rPr>
        <w:t>(</w:t>
      </w:r>
      <w:r w:rsidRPr="007F1D50">
        <w:rPr>
          <w:rStyle w:val="default"/>
          <w:rFonts w:cs="FrankRuehl" w:hint="cs"/>
          <w:sz w:val="24"/>
          <w:szCs w:val="24"/>
          <w:rtl/>
        </w:rPr>
        <w:t>תקנות 3 ו-4)</w:t>
      </w:r>
    </w:p>
    <w:p w:rsidR="00A5674D" w:rsidRDefault="00A5674D">
      <w:pPr>
        <w:pStyle w:val="P00"/>
        <w:spacing w:before="72"/>
        <w:ind w:left="0" w:right="1134"/>
        <w:rPr>
          <w:rStyle w:val="default"/>
          <w:rFonts w:cs="FrankRuehl"/>
          <w:b/>
          <w:bCs/>
          <w:sz w:val="22"/>
          <w:szCs w:val="22"/>
          <w:rtl/>
        </w:rPr>
      </w:pPr>
      <w:r>
        <w:rPr>
          <w:rStyle w:val="default"/>
          <w:rFonts w:cs="FrankRuehl"/>
          <w:b/>
          <w:bCs/>
          <w:sz w:val="22"/>
          <w:szCs w:val="22"/>
          <w:rtl/>
        </w:rPr>
        <w:t>ח</w:t>
      </w:r>
      <w:r>
        <w:rPr>
          <w:rStyle w:val="default"/>
          <w:rFonts w:cs="FrankRuehl" w:hint="cs"/>
          <w:b/>
          <w:bCs/>
          <w:sz w:val="22"/>
          <w:szCs w:val="22"/>
          <w:rtl/>
        </w:rPr>
        <w:t>לק א'</w:t>
      </w:r>
    </w:p>
    <w:p w:rsidR="00A5674D" w:rsidRDefault="00A5674D">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וקראינה, איחוד האמירויות הערביות, אירן, אלג'יריה, אפגניסטן, בחריין, בלרוס, דובאי, כווית, לבנון, לוב, מאוריטניה, סודאן, סומאלי, סוריה, עירק, ערב הסעודית, פקיסטן, קוריאה הצפונית, קטאר, רוסיה, תוניס, </w:t>
      </w:r>
      <w:r>
        <w:rPr>
          <w:rStyle w:val="default"/>
          <w:rFonts w:cs="FrankRuehl"/>
          <w:rtl/>
        </w:rPr>
        <w:t>ת</w:t>
      </w:r>
      <w:r>
        <w:rPr>
          <w:rStyle w:val="default"/>
          <w:rFonts w:cs="FrankRuehl" w:hint="cs"/>
          <w:rtl/>
        </w:rPr>
        <w:t>ימן.</w:t>
      </w:r>
    </w:p>
    <w:p w:rsidR="00A5674D" w:rsidRDefault="00A5674D">
      <w:pPr>
        <w:pStyle w:val="P00"/>
        <w:spacing w:before="72"/>
        <w:ind w:left="0" w:right="1134"/>
        <w:rPr>
          <w:rStyle w:val="default"/>
          <w:rFonts w:cs="FrankRuehl"/>
          <w:b/>
          <w:bCs/>
          <w:sz w:val="22"/>
          <w:szCs w:val="22"/>
          <w:rtl/>
        </w:rPr>
      </w:pPr>
      <w:r>
        <w:rPr>
          <w:rStyle w:val="default"/>
          <w:rFonts w:cs="FrankRuehl"/>
          <w:b/>
          <w:bCs/>
          <w:sz w:val="22"/>
          <w:szCs w:val="22"/>
          <w:rtl/>
        </w:rPr>
        <w:lastRenderedPageBreak/>
        <w:t>ח</w:t>
      </w:r>
      <w:r>
        <w:rPr>
          <w:rStyle w:val="default"/>
          <w:rFonts w:cs="FrankRuehl" w:hint="cs"/>
          <w:b/>
          <w:bCs/>
          <w:sz w:val="22"/>
          <w:szCs w:val="22"/>
          <w:rtl/>
        </w:rPr>
        <w:t>לק ב'</w:t>
      </w:r>
    </w:p>
    <w:p w:rsidR="00A5674D" w:rsidRDefault="00A5674D">
      <w:pPr>
        <w:pStyle w:val="P00"/>
        <w:spacing w:before="72"/>
        <w:ind w:left="0" w:right="1134"/>
        <w:rPr>
          <w:rStyle w:val="default"/>
          <w:rFonts w:cs="FrankRuehl"/>
          <w:rtl/>
        </w:rPr>
      </w:pPr>
      <w:r>
        <w:rPr>
          <w:rStyle w:val="default"/>
          <w:rFonts w:cs="FrankRuehl"/>
          <w:rtl/>
        </w:rPr>
        <w:t>א</w:t>
      </w:r>
      <w:r>
        <w:rPr>
          <w:rStyle w:val="default"/>
          <w:rFonts w:cs="FrankRuehl" w:hint="cs"/>
          <w:rtl/>
        </w:rPr>
        <w:t>וגנדה, ויאטנם, ירדן, לאוס, מצרים (לרבות סיני), מרוקו, קובה, קוריאה הצפונית, קמבודיה, רומניה.</w:t>
      </w:r>
    </w:p>
    <w:p w:rsidR="00A5674D" w:rsidRDefault="00A5674D">
      <w:pPr>
        <w:pStyle w:val="P00"/>
        <w:spacing w:before="0"/>
        <w:ind w:left="0" w:right="1134"/>
        <w:rPr>
          <w:rFonts w:hint="cs"/>
          <w:b/>
          <w:bCs/>
          <w:vanish/>
          <w:szCs w:val="20"/>
          <w:shd w:val="clear" w:color="auto" w:fill="FFFF99"/>
          <w:rtl/>
        </w:rPr>
      </w:pPr>
      <w:bookmarkStart w:id="11" w:name="Rov12"/>
      <w:r>
        <w:rPr>
          <w:rFonts w:hint="cs"/>
          <w:vanish/>
          <w:color w:val="FF0000"/>
          <w:szCs w:val="20"/>
          <w:shd w:val="clear" w:color="auto" w:fill="FFFF99"/>
          <w:rtl/>
        </w:rPr>
        <w:t>מיום 19.9.1996</w:t>
      </w:r>
    </w:p>
    <w:p w:rsidR="00A5674D" w:rsidRDefault="00A5674D">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תשנ"ז-1996</w:t>
      </w:r>
    </w:p>
    <w:p w:rsidR="00A5674D" w:rsidRDefault="00A5674D">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תשנ"ז מס' 5784</w:t>
        </w:r>
      </w:hyperlink>
      <w:r>
        <w:rPr>
          <w:rFonts w:hint="cs"/>
          <w:vanish/>
          <w:szCs w:val="20"/>
          <w:shd w:val="clear" w:color="auto" w:fill="FFFF99"/>
          <w:rtl/>
        </w:rPr>
        <w:t xml:space="preserve"> מיום 19.9.1996 עמ' 3</w:t>
      </w:r>
    </w:p>
    <w:p w:rsidR="00A5674D" w:rsidRDefault="00A5674D">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התוספת</w:t>
      </w:r>
    </w:p>
    <w:p w:rsidR="00A5674D" w:rsidRDefault="00A5674D">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A5674D" w:rsidRDefault="00A5674D">
      <w:pPr>
        <w:pStyle w:val="P00"/>
        <w:spacing w:before="0"/>
        <w:ind w:left="0"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ח</w:t>
      </w:r>
      <w:r>
        <w:rPr>
          <w:rStyle w:val="default"/>
          <w:rFonts w:cs="FrankRuehl" w:hint="cs"/>
          <w:strike/>
          <w:vanish/>
          <w:sz w:val="22"/>
          <w:szCs w:val="22"/>
          <w:shd w:val="clear" w:color="auto" w:fill="FFFF99"/>
          <w:rtl/>
        </w:rPr>
        <w:t>לק א'</w:t>
      </w:r>
    </w:p>
    <w:p w:rsidR="00A5674D" w:rsidRDefault="00A5674D">
      <w:pPr>
        <w:pStyle w:val="P00"/>
        <w:spacing w:before="0"/>
        <w:ind w:left="0"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 xml:space="preserve">לג'יריה, בחריין, ברית האמירויות הערביות (נסיכויות המפרץ), ירדן, כווית, לבנון, לוב, מאוריטניה, סודאן, סומלי, סוריה, עומאן, עירק, ערב הסעודית, קטאר, תוניסיה, </w:t>
      </w:r>
      <w:r>
        <w:rPr>
          <w:rStyle w:val="default"/>
          <w:rFonts w:cs="FrankRuehl"/>
          <w:strike/>
          <w:vanish/>
          <w:sz w:val="22"/>
          <w:szCs w:val="22"/>
          <w:shd w:val="clear" w:color="auto" w:fill="FFFF99"/>
          <w:rtl/>
        </w:rPr>
        <w:t>ת</w:t>
      </w:r>
      <w:r>
        <w:rPr>
          <w:rStyle w:val="default"/>
          <w:rFonts w:cs="FrankRuehl" w:hint="cs"/>
          <w:strike/>
          <w:vanish/>
          <w:sz w:val="22"/>
          <w:szCs w:val="22"/>
          <w:shd w:val="clear" w:color="auto" w:fill="FFFF99"/>
          <w:rtl/>
        </w:rPr>
        <w:t>ימן.</w:t>
      </w:r>
    </w:p>
    <w:p w:rsidR="00A5674D" w:rsidRDefault="00A5674D">
      <w:pPr>
        <w:pStyle w:val="P00"/>
        <w:spacing w:before="0"/>
        <w:ind w:left="0" w:right="1134"/>
        <w:rPr>
          <w:rStyle w:val="default"/>
          <w:rFonts w:cs="FrankRuehl" w:hint="cs"/>
          <w:strike/>
          <w:vanish/>
          <w:sz w:val="22"/>
          <w:szCs w:val="22"/>
          <w:shd w:val="clear" w:color="auto" w:fill="FFFF99"/>
          <w:rtl/>
        </w:rPr>
      </w:pPr>
    </w:p>
    <w:p w:rsidR="00A5674D" w:rsidRDefault="00A5674D">
      <w:pPr>
        <w:pStyle w:val="P00"/>
        <w:spacing w:before="0"/>
        <w:ind w:left="0"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ח</w:t>
      </w:r>
      <w:r>
        <w:rPr>
          <w:rStyle w:val="default"/>
          <w:rFonts w:cs="FrankRuehl" w:hint="cs"/>
          <w:strike/>
          <w:vanish/>
          <w:sz w:val="22"/>
          <w:szCs w:val="22"/>
          <w:shd w:val="clear" w:color="auto" w:fill="FFFF99"/>
          <w:rtl/>
        </w:rPr>
        <w:t>לק ב'</w:t>
      </w:r>
    </w:p>
    <w:p w:rsidR="00A5674D" w:rsidRDefault="00A5674D">
      <w:pPr>
        <w:pStyle w:val="P00"/>
        <w:spacing w:before="0"/>
        <w:ind w:left="0" w:right="1134"/>
        <w:rPr>
          <w:rStyle w:val="default"/>
          <w:rFonts w:cs="FrankRuehl"/>
          <w:strike/>
          <w:sz w:val="2"/>
          <w:szCs w:val="2"/>
          <w:rtl/>
        </w:rPr>
      </w:pP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וגנדה, איראן, אנגולה, אפגניסטאן, ויאטנם, טנזיה, מאלי, מדגסקאר, מוזאמביק, מלזיה, מרוקו, פקיסטאן, צ'אד, צפון קוריאה, קובה, קמבודיה.</w:t>
      </w:r>
      <w:bookmarkEnd w:id="11"/>
    </w:p>
    <w:p w:rsidR="00A5674D" w:rsidRDefault="00A5674D">
      <w:pPr>
        <w:pStyle w:val="P00"/>
        <w:spacing w:before="72"/>
        <w:ind w:left="0" w:right="1134"/>
        <w:rPr>
          <w:rStyle w:val="default"/>
          <w:rFonts w:cs="FrankRuehl"/>
          <w:rtl/>
        </w:rPr>
      </w:pPr>
    </w:p>
    <w:p w:rsidR="00A5674D" w:rsidRDefault="00A5674D">
      <w:pPr>
        <w:pStyle w:val="sig-0"/>
        <w:ind w:left="0" w:right="1134"/>
        <w:rPr>
          <w:rtl/>
        </w:rPr>
      </w:pPr>
      <w:r>
        <w:rPr>
          <w:rtl/>
        </w:rPr>
        <w:t>כ</w:t>
      </w:r>
      <w:r>
        <w:rPr>
          <w:rFonts w:hint="cs"/>
          <w:rtl/>
        </w:rPr>
        <w:t>"ג בשבט תשנ"ב (28 בינואר 1992)</w:t>
      </w:r>
      <w:r>
        <w:rPr>
          <w:rtl/>
        </w:rPr>
        <w:tab/>
      </w:r>
      <w:r>
        <w:rPr>
          <w:rFonts w:hint="cs"/>
          <w:rtl/>
        </w:rPr>
        <w:t>משה ארנס</w:t>
      </w:r>
    </w:p>
    <w:p w:rsidR="00A5674D" w:rsidRDefault="00A5674D">
      <w:pPr>
        <w:pStyle w:val="sig-1"/>
        <w:widowControl/>
        <w:ind w:left="0" w:right="1134"/>
        <w:rPr>
          <w:rFonts w:hint="cs"/>
          <w:rtl/>
        </w:rPr>
      </w:pPr>
      <w:r>
        <w:rPr>
          <w:rtl/>
        </w:rPr>
        <w:tab/>
      </w:r>
      <w:r>
        <w:rPr>
          <w:rtl/>
        </w:rPr>
        <w:tab/>
      </w:r>
      <w:r>
        <w:rPr>
          <w:rtl/>
        </w:rPr>
        <w:tab/>
      </w:r>
      <w:r>
        <w:rPr>
          <w:rFonts w:hint="cs"/>
          <w:rtl/>
        </w:rPr>
        <w:t>שר הבטחון</w:t>
      </w:r>
    </w:p>
    <w:p w:rsidR="00A5674D" w:rsidRDefault="00A5674D">
      <w:pPr>
        <w:pStyle w:val="P00"/>
        <w:spacing w:before="72"/>
        <w:ind w:left="0" w:right="1134"/>
        <w:rPr>
          <w:rStyle w:val="default"/>
          <w:rFonts w:cs="FrankRuehl" w:hint="cs"/>
          <w:rtl/>
        </w:rPr>
      </w:pPr>
    </w:p>
    <w:p w:rsidR="00A5674D" w:rsidRDefault="00A5674D">
      <w:pPr>
        <w:pStyle w:val="P00"/>
        <w:spacing w:before="72"/>
        <w:ind w:left="0" w:right="1134"/>
        <w:rPr>
          <w:rStyle w:val="default"/>
          <w:rFonts w:cs="FrankRuehl"/>
          <w:rtl/>
        </w:rPr>
      </w:pPr>
    </w:p>
    <w:p w:rsidR="00A5674D" w:rsidRDefault="00A5674D">
      <w:pPr>
        <w:pStyle w:val="P00"/>
        <w:spacing w:before="72"/>
        <w:ind w:left="0" w:right="1134"/>
        <w:rPr>
          <w:rStyle w:val="default"/>
          <w:rFonts w:cs="FrankRuehl"/>
          <w:rtl/>
        </w:rPr>
      </w:pPr>
      <w:bookmarkStart w:id="12" w:name="LawPartEnd"/>
    </w:p>
    <w:bookmarkEnd w:id="12"/>
    <w:p w:rsidR="00A5674D" w:rsidRDefault="00A5674D">
      <w:pPr>
        <w:pStyle w:val="P00"/>
        <w:spacing w:before="72"/>
        <w:ind w:left="0" w:right="1134"/>
        <w:rPr>
          <w:rStyle w:val="default"/>
          <w:rFonts w:cs="FrankRuehl"/>
          <w:rtl/>
        </w:rPr>
      </w:pPr>
    </w:p>
    <w:sectPr w:rsidR="00A5674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44C" w:rsidRDefault="0026744C">
      <w:r>
        <w:separator/>
      </w:r>
    </w:p>
  </w:endnote>
  <w:endnote w:type="continuationSeparator" w:id="0">
    <w:p w:rsidR="0026744C" w:rsidRDefault="0026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74D" w:rsidRDefault="00A5674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674D" w:rsidRDefault="00A5674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674D" w:rsidRDefault="00A5674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74D" w:rsidRDefault="00A5674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1D50">
      <w:rPr>
        <w:rFonts w:hAnsi="FrankRuehl" w:cs="FrankRuehl"/>
        <w:noProof/>
        <w:sz w:val="24"/>
        <w:szCs w:val="24"/>
        <w:rtl/>
      </w:rPr>
      <w:t>2</w:t>
    </w:r>
    <w:r>
      <w:rPr>
        <w:rFonts w:hAnsi="FrankRuehl" w:cs="FrankRuehl"/>
        <w:sz w:val="24"/>
        <w:szCs w:val="24"/>
        <w:rtl/>
      </w:rPr>
      <w:fldChar w:fldCharType="end"/>
    </w:r>
  </w:p>
  <w:p w:rsidR="00A5674D" w:rsidRDefault="00A5674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674D" w:rsidRDefault="00A5674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44C" w:rsidRDefault="0026744C">
      <w:pPr>
        <w:spacing w:before="60" w:line="240" w:lineRule="auto"/>
        <w:ind w:right="1134"/>
      </w:pPr>
      <w:r>
        <w:separator/>
      </w:r>
    </w:p>
  </w:footnote>
  <w:footnote w:type="continuationSeparator" w:id="0">
    <w:p w:rsidR="0026744C" w:rsidRDefault="0026744C">
      <w:r>
        <w:continuationSeparator/>
      </w:r>
    </w:p>
  </w:footnote>
  <w:footnote w:id="1">
    <w:p w:rsidR="00A5674D" w:rsidRDefault="00A567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 xml:space="preserve">ק"ת תשנ"ב </w:t>
        </w:r>
        <w:r>
          <w:rPr>
            <w:rStyle w:val="Hyperlink"/>
            <w:rFonts w:hint="cs"/>
            <w:sz w:val="20"/>
            <w:rtl/>
          </w:rPr>
          <w:t>מ</w:t>
        </w:r>
        <w:r>
          <w:rPr>
            <w:rStyle w:val="Hyperlink"/>
            <w:rFonts w:hint="cs"/>
            <w:sz w:val="20"/>
            <w:rtl/>
          </w:rPr>
          <w:t>ס' 5420</w:t>
        </w:r>
      </w:hyperlink>
      <w:r>
        <w:rPr>
          <w:rFonts w:hint="cs"/>
          <w:sz w:val="20"/>
          <w:rtl/>
        </w:rPr>
        <w:t xml:space="preserve"> מיום 8.2.1992 עמ' 748.</w:t>
      </w:r>
    </w:p>
    <w:p w:rsidR="00A5674D" w:rsidRDefault="00A5674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תשנ"ז מס' 5784</w:t>
        </w:r>
      </w:hyperlink>
      <w:r>
        <w:rPr>
          <w:rFonts w:hint="cs"/>
          <w:sz w:val="20"/>
          <w:rtl/>
        </w:rPr>
        <w:t xml:space="preserve"> מיום 19.9.1996 עמ' 2 </w:t>
      </w:r>
      <w:r>
        <w:rPr>
          <w:sz w:val="20"/>
          <w:rtl/>
        </w:rPr>
        <w:t>–</w:t>
      </w:r>
      <w:r>
        <w:rPr>
          <w:rFonts w:hint="cs"/>
          <w:sz w:val="20"/>
          <w:rtl/>
        </w:rPr>
        <w:t xml:space="preserve"> תק' תשנ"ז-1996.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74D" w:rsidRDefault="00A567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(יציאת אנשי מילואים לחוץ לארץ), תשנ"ב–1992</w:t>
    </w:r>
  </w:p>
  <w:p w:rsidR="00A5674D" w:rsidRDefault="00A5674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674D" w:rsidRDefault="00A5674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74D" w:rsidRDefault="00A567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(יציאת אנשי מילואים לחוץ לארץ), תשנ"ב</w:t>
    </w:r>
    <w:r>
      <w:rPr>
        <w:rFonts w:hAnsi="FrankRuehl" w:cs="FrankRuehl" w:hint="cs"/>
        <w:color w:val="000000"/>
        <w:sz w:val="28"/>
        <w:szCs w:val="28"/>
        <w:rtl/>
      </w:rPr>
      <w:t>-</w:t>
    </w:r>
    <w:r>
      <w:rPr>
        <w:rFonts w:hAnsi="FrankRuehl" w:cs="FrankRuehl"/>
        <w:color w:val="000000"/>
        <w:sz w:val="28"/>
        <w:szCs w:val="28"/>
        <w:rtl/>
      </w:rPr>
      <w:t>1992</w:t>
    </w:r>
  </w:p>
  <w:p w:rsidR="00A5674D" w:rsidRDefault="00A5674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674D" w:rsidRDefault="00A5674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2F1"/>
    <w:rsid w:val="00263699"/>
    <w:rsid w:val="0026744C"/>
    <w:rsid w:val="005912F1"/>
    <w:rsid w:val="005A433E"/>
    <w:rsid w:val="007F1D50"/>
    <w:rsid w:val="00A5674D"/>
    <w:rsid w:val="00B32C34"/>
    <w:rsid w:val="00BB70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CD5C88-6609-4CE0-892D-51604EF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8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78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78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784.pdf" TargetMode="External"/><Relationship Id="rId1" Type="http://schemas.openxmlformats.org/officeDocument/2006/relationships/hyperlink" Target="http://www.nevo.co.il/Law_word/law06/TAK-54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4758</CharactersWithSpaces>
  <SharedDoc>false</SharedDoc>
  <HLinks>
    <vt:vector size="84" baseType="variant">
      <vt:variant>
        <vt:i4>7602187</vt:i4>
      </vt:variant>
      <vt:variant>
        <vt:i4>60</vt:i4>
      </vt:variant>
      <vt:variant>
        <vt:i4>0</vt:i4>
      </vt:variant>
      <vt:variant>
        <vt:i4>5</vt:i4>
      </vt:variant>
      <vt:variant>
        <vt:lpwstr>http://www.nevo.co.il/Law_word/law06/TAK-5784.pdf</vt:lpwstr>
      </vt:variant>
      <vt:variant>
        <vt:lpwstr/>
      </vt:variant>
      <vt:variant>
        <vt:i4>7602187</vt:i4>
      </vt:variant>
      <vt:variant>
        <vt:i4>57</vt:i4>
      </vt:variant>
      <vt:variant>
        <vt:i4>0</vt:i4>
      </vt:variant>
      <vt:variant>
        <vt:i4>5</vt:i4>
      </vt:variant>
      <vt:variant>
        <vt:lpwstr>http://www.nevo.co.il/Law_word/law06/TAK-5784.pdf</vt:lpwstr>
      </vt:variant>
      <vt:variant>
        <vt:lpwstr/>
      </vt:variant>
      <vt:variant>
        <vt:i4>7602187</vt:i4>
      </vt:variant>
      <vt:variant>
        <vt:i4>54</vt:i4>
      </vt:variant>
      <vt:variant>
        <vt:i4>0</vt:i4>
      </vt:variant>
      <vt:variant>
        <vt:i4>5</vt:i4>
      </vt:variant>
      <vt:variant>
        <vt:lpwstr>http://www.nevo.co.il/Law_word/law06/TAK-5784.pdf</vt:lpwstr>
      </vt:variant>
      <vt:variant>
        <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7602187</vt:i4>
      </vt:variant>
      <vt:variant>
        <vt:i4>3</vt:i4>
      </vt:variant>
      <vt:variant>
        <vt:i4>0</vt:i4>
      </vt:variant>
      <vt:variant>
        <vt:i4>5</vt:i4>
      </vt:variant>
      <vt:variant>
        <vt:lpwstr>http://www.nevo.co.il/Law_word/law06/TAK-5784.pdf</vt:lpwstr>
      </vt:variant>
      <vt:variant>
        <vt:lpwstr/>
      </vt:variant>
      <vt:variant>
        <vt:i4>8257548</vt:i4>
      </vt:variant>
      <vt:variant>
        <vt:i4>0</vt:i4>
      </vt:variant>
      <vt:variant>
        <vt:i4>0</vt:i4>
      </vt:variant>
      <vt:variant>
        <vt:i4>5</vt:i4>
      </vt:variant>
      <vt:variant>
        <vt:lpwstr>http://www.nevo.co.il/Law_word/law06/TAK-5420.pdf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(יציאת אנשי מילואים לחוץ לארץ), תשנ"ב-1992</vt:lpwstr>
  </property>
  <property fmtid="{D5CDD505-2E9C-101B-9397-08002B2CF9AE}" pid="5" name="LAWNUMBER">
    <vt:lpwstr>0037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מילואים</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מילואים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בטחון [נוסח משולב]</vt:lpwstr>
  </property>
  <property fmtid="{D5CDD505-2E9C-101B-9397-08002B2CF9AE}" pid="48" name="MEKOR_SAIF1">
    <vt:lpwstr>33X;43X;43בX;57X</vt:lpwstr>
  </property>
</Properties>
</file>