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153D" w:rsidRDefault="0009153D">
      <w:pPr>
        <w:pStyle w:val="big-header"/>
        <w:ind w:left="0" w:right="1134"/>
        <w:rPr>
          <w:rFonts w:hint="cs"/>
          <w:rtl/>
        </w:rPr>
      </w:pPr>
      <w:r>
        <w:rPr>
          <w:rtl/>
        </w:rPr>
        <w:t>תקנות שירות בטחון (פטור נשים משירות בטחון מטעמים שבמצפון או שבהווי משפחתי דתי), תשל"ח</w:t>
      </w:r>
      <w:r>
        <w:rPr>
          <w:rFonts w:hint="cs"/>
          <w:rtl/>
        </w:rPr>
        <w:t>-</w:t>
      </w:r>
      <w:r>
        <w:rPr>
          <w:rtl/>
        </w:rPr>
        <w:t>1978</w:t>
      </w:r>
    </w:p>
    <w:p w:rsidR="00661325" w:rsidRPr="00661325" w:rsidRDefault="00661325" w:rsidP="00661325">
      <w:pPr>
        <w:spacing w:line="320" w:lineRule="auto"/>
        <w:jc w:val="left"/>
        <w:rPr>
          <w:rFonts w:cs="FrankRuehl"/>
          <w:szCs w:val="26"/>
          <w:rtl/>
        </w:rPr>
      </w:pPr>
    </w:p>
    <w:p w:rsidR="00661325" w:rsidRPr="00661325" w:rsidRDefault="00661325" w:rsidP="00661325">
      <w:pPr>
        <w:spacing w:line="320" w:lineRule="auto"/>
        <w:jc w:val="left"/>
        <w:rPr>
          <w:rFonts w:cs="Miriam" w:hint="cs"/>
          <w:szCs w:val="22"/>
          <w:rtl/>
        </w:rPr>
      </w:pPr>
      <w:r w:rsidRPr="00661325">
        <w:rPr>
          <w:rFonts w:cs="Miriam"/>
          <w:szCs w:val="22"/>
          <w:rtl/>
        </w:rPr>
        <w:t>בטחון</w:t>
      </w:r>
      <w:r w:rsidRPr="00661325">
        <w:rPr>
          <w:rFonts w:cs="FrankRuehl"/>
          <w:szCs w:val="26"/>
          <w:rtl/>
        </w:rPr>
        <w:t xml:space="preserve"> – צה"ל – שירות בטחון – פטור</w:t>
      </w:r>
    </w:p>
    <w:p w:rsidR="0009153D" w:rsidRDefault="0009153D">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09153D">
        <w:tblPrEx>
          <w:tblCellMar>
            <w:top w:w="0" w:type="dxa"/>
            <w:bottom w:w="0" w:type="dxa"/>
          </w:tblCellMar>
        </w:tblPrEx>
        <w:tc>
          <w:tcPr>
            <w:tcW w:w="850" w:type="dxa"/>
          </w:tcPr>
          <w:p w:rsidR="0009153D" w:rsidRDefault="0009153D">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9153D" w:rsidRDefault="0009153D">
            <w:pPr>
              <w:spacing w:line="240" w:lineRule="auto"/>
              <w:rPr>
                <w:sz w:val="24"/>
              </w:rPr>
            </w:pPr>
            <w:hyperlink w:anchor="Seif0" w:tooltip="מינוי ועדות פטור וועדות ערר" w:history="1">
              <w:r>
                <w:rPr>
                  <w:rStyle w:val="Hyperlink"/>
                </w:rPr>
                <w:t>Go</w:t>
              </w:r>
            </w:hyperlink>
          </w:p>
        </w:tc>
        <w:tc>
          <w:tcPr>
            <w:tcW w:w="5669" w:type="dxa"/>
          </w:tcPr>
          <w:p w:rsidR="0009153D" w:rsidRDefault="0009153D">
            <w:pPr>
              <w:spacing w:line="240" w:lineRule="auto"/>
              <w:rPr>
                <w:sz w:val="24"/>
                <w:rtl/>
              </w:rPr>
            </w:pPr>
            <w:r>
              <w:rPr>
                <w:sz w:val="24"/>
                <w:rtl/>
              </w:rPr>
              <w:t>מינוי ועדות פטור וועדות ערר</w:t>
            </w:r>
          </w:p>
        </w:tc>
        <w:tc>
          <w:tcPr>
            <w:tcW w:w="1247" w:type="dxa"/>
          </w:tcPr>
          <w:p w:rsidR="0009153D" w:rsidRDefault="0009153D">
            <w:pPr>
              <w:spacing w:line="240" w:lineRule="auto"/>
              <w:rPr>
                <w:sz w:val="24"/>
              </w:rPr>
            </w:pPr>
            <w:r>
              <w:rPr>
                <w:sz w:val="24"/>
                <w:rtl/>
              </w:rPr>
              <w:t xml:space="preserve">סעיף 1 </w:t>
            </w:r>
          </w:p>
        </w:tc>
      </w:tr>
      <w:tr w:rsidR="0009153D">
        <w:tblPrEx>
          <w:tblCellMar>
            <w:top w:w="0" w:type="dxa"/>
            <w:bottom w:w="0" w:type="dxa"/>
          </w:tblCellMar>
        </w:tblPrEx>
        <w:tc>
          <w:tcPr>
            <w:tcW w:w="850" w:type="dxa"/>
          </w:tcPr>
          <w:p w:rsidR="0009153D" w:rsidRDefault="0009153D">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9153D" w:rsidRDefault="0009153D">
            <w:pPr>
              <w:spacing w:line="240" w:lineRule="auto"/>
              <w:rPr>
                <w:sz w:val="24"/>
              </w:rPr>
            </w:pPr>
            <w:hyperlink w:anchor="Seif1" w:tooltip="מספר החברים בועדת הפטור ובועדת הערר" w:history="1">
              <w:r>
                <w:rPr>
                  <w:rStyle w:val="Hyperlink"/>
                </w:rPr>
                <w:t>Go</w:t>
              </w:r>
            </w:hyperlink>
          </w:p>
        </w:tc>
        <w:tc>
          <w:tcPr>
            <w:tcW w:w="5669" w:type="dxa"/>
          </w:tcPr>
          <w:p w:rsidR="0009153D" w:rsidRDefault="0009153D">
            <w:pPr>
              <w:spacing w:line="240" w:lineRule="auto"/>
              <w:rPr>
                <w:sz w:val="24"/>
                <w:rtl/>
              </w:rPr>
            </w:pPr>
            <w:r>
              <w:rPr>
                <w:sz w:val="24"/>
                <w:rtl/>
              </w:rPr>
              <w:t>מספר החברים בועדת הפטור ובועדת הערר</w:t>
            </w:r>
          </w:p>
        </w:tc>
        <w:tc>
          <w:tcPr>
            <w:tcW w:w="1247" w:type="dxa"/>
          </w:tcPr>
          <w:p w:rsidR="0009153D" w:rsidRDefault="0009153D">
            <w:pPr>
              <w:spacing w:line="240" w:lineRule="auto"/>
              <w:rPr>
                <w:sz w:val="24"/>
              </w:rPr>
            </w:pPr>
            <w:r>
              <w:rPr>
                <w:sz w:val="24"/>
                <w:rtl/>
              </w:rPr>
              <w:t xml:space="preserve">סעיף 2 </w:t>
            </w:r>
          </w:p>
        </w:tc>
      </w:tr>
      <w:tr w:rsidR="0009153D">
        <w:tblPrEx>
          <w:tblCellMar>
            <w:top w:w="0" w:type="dxa"/>
            <w:bottom w:w="0" w:type="dxa"/>
          </w:tblCellMar>
        </w:tblPrEx>
        <w:tc>
          <w:tcPr>
            <w:tcW w:w="850" w:type="dxa"/>
          </w:tcPr>
          <w:p w:rsidR="0009153D" w:rsidRDefault="0009153D">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9153D" w:rsidRDefault="0009153D">
            <w:pPr>
              <w:spacing w:line="240" w:lineRule="auto"/>
              <w:rPr>
                <w:sz w:val="24"/>
              </w:rPr>
            </w:pPr>
            <w:hyperlink w:anchor="Seif2" w:tooltip="פרסום ברשומות" w:history="1">
              <w:r>
                <w:rPr>
                  <w:rStyle w:val="Hyperlink"/>
                </w:rPr>
                <w:t>Go</w:t>
              </w:r>
            </w:hyperlink>
          </w:p>
        </w:tc>
        <w:tc>
          <w:tcPr>
            <w:tcW w:w="5669" w:type="dxa"/>
          </w:tcPr>
          <w:p w:rsidR="0009153D" w:rsidRDefault="0009153D">
            <w:pPr>
              <w:spacing w:line="240" w:lineRule="auto"/>
              <w:rPr>
                <w:sz w:val="24"/>
                <w:rtl/>
              </w:rPr>
            </w:pPr>
            <w:r>
              <w:rPr>
                <w:sz w:val="24"/>
                <w:rtl/>
              </w:rPr>
              <w:t>פרסום ברשומות</w:t>
            </w:r>
          </w:p>
        </w:tc>
        <w:tc>
          <w:tcPr>
            <w:tcW w:w="1247" w:type="dxa"/>
          </w:tcPr>
          <w:p w:rsidR="0009153D" w:rsidRDefault="0009153D">
            <w:pPr>
              <w:spacing w:line="240" w:lineRule="auto"/>
              <w:rPr>
                <w:sz w:val="24"/>
              </w:rPr>
            </w:pPr>
            <w:r>
              <w:rPr>
                <w:sz w:val="24"/>
                <w:rtl/>
              </w:rPr>
              <w:t xml:space="preserve">סעיף 3 </w:t>
            </w:r>
          </w:p>
        </w:tc>
      </w:tr>
      <w:tr w:rsidR="0009153D">
        <w:tblPrEx>
          <w:tblCellMar>
            <w:top w:w="0" w:type="dxa"/>
            <w:bottom w:w="0" w:type="dxa"/>
          </w:tblCellMar>
        </w:tblPrEx>
        <w:tc>
          <w:tcPr>
            <w:tcW w:w="850" w:type="dxa"/>
          </w:tcPr>
          <w:p w:rsidR="0009153D" w:rsidRDefault="0009153D">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9153D" w:rsidRDefault="0009153D">
            <w:pPr>
              <w:spacing w:line="240" w:lineRule="auto"/>
              <w:rPr>
                <w:sz w:val="24"/>
              </w:rPr>
            </w:pPr>
            <w:hyperlink w:anchor="Seif3" w:tooltip="בקשה לפטור" w:history="1">
              <w:r>
                <w:rPr>
                  <w:rStyle w:val="Hyperlink"/>
                </w:rPr>
                <w:t>Go</w:t>
              </w:r>
            </w:hyperlink>
          </w:p>
        </w:tc>
        <w:tc>
          <w:tcPr>
            <w:tcW w:w="5669" w:type="dxa"/>
          </w:tcPr>
          <w:p w:rsidR="0009153D" w:rsidRDefault="0009153D">
            <w:pPr>
              <w:spacing w:line="240" w:lineRule="auto"/>
              <w:rPr>
                <w:sz w:val="24"/>
                <w:rtl/>
              </w:rPr>
            </w:pPr>
            <w:r>
              <w:rPr>
                <w:sz w:val="24"/>
                <w:rtl/>
              </w:rPr>
              <w:t>בקשה לפטור</w:t>
            </w:r>
          </w:p>
        </w:tc>
        <w:tc>
          <w:tcPr>
            <w:tcW w:w="1247" w:type="dxa"/>
          </w:tcPr>
          <w:p w:rsidR="0009153D" w:rsidRDefault="0009153D">
            <w:pPr>
              <w:spacing w:line="240" w:lineRule="auto"/>
              <w:rPr>
                <w:sz w:val="24"/>
              </w:rPr>
            </w:pPr>
            <w:r>
              <w:rPr>
                <w:sz w:val="24"/>
                <w:rtl/>
              </w:rPr>
              <w:t xml:space="preserve">סעיף 4 </w:t>
            </w:r>
          </w:p>
        </w:tc>
      </w:tr>
      <w:tr w:rsidR="0009153D">
        <w:tblPrEx>
          <w:tblCellMar>
            <w:top w:w="0" w:type="dxa"/>
            <w:bottom w:w="0" w:type="dxa"/>
          </w:tblCellMar>
        </w:tblPrEx>
        <w:tc>
          <w:tcPr>
            <w:tcW w:w="850" w:type="dxa"/>
          </w:tcPr>
          <w:p w:rsidR="0009153D" w:rsidRDefault="0009153D">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9153D" w:rsidRDefault="0009153D">
            <w:pPr>
              <w:spacing w:line="240" w:lineRule="auto"/>
              <w:rPr>
                <w:sz w:val="24"/>
              </w:rPr>
            </w:pPr>
            <w:hyperlink w:anchor="Seif4" w:tooltip="מועד הגשת הבקשה" w:history="1">
              <w:r>
                <w:rPr>
                  <w:rStyle w:val="Hyperlink"/>
                </w:rPr>
                <w:t>Go</w:t>
              </w:r>
            </w:hyperlink>
          </w:p>
        </w:tc>
        <w:tc>
          <w:tcPr>
            <w:tcW w:w="5669" w:type="dxa"/>
          </w:tcPr>
          <w:p w:rsidR="0009153D" w:rsidRDefault="0009153D">
            <w:pPr>
              <w:spacing w:line="240" w:lineRule="auto"/>
              <w:rPr>
                <w:sz w:val="24"/>
                <w:rtl/>
              </w:rPr>
            </w:pPr>
            <w:r>
              <w:rPr>
                <w:sz w:val="24"/>
                <w:rtl/>
              </w:rPr>
              <w:t>מועד הגשת הבקשה</w:t>
            </w:r>
          </w:p>
        </w:tc>
        <w:tc>
          <w:tcPr>
            <w:tcW w:w="1247" w:type="dxa"/>
          </w:tcPr>
          <w:p w:rsidR="0009153D" w:rsidRDefault="0009153D">
            <w:pPr>
              <w:spacing w:line="240" w:lineRule="auto"/>
              <w:rPr>
                <w:sz w:val="24"/>
              </w:rPr>
            </w:pPr>
            <w:r>
              <w:rPr>
                <w:sz w:val="24"/>
                <w:rtl/>
              </w:rPr>
              <w:t xml:space="preserve">סעיף 5 </w:t>
            </w:r>
          </w:p>
        </w:tc>
      </w:tr>
      <w:tr w:rsidR="0009153D">
        <w:tblPrEx>
          <w:tblCellMar>
            <w:top w:w="0" w:type="dxa"/>
            <w:bottom w:w="0" w:type="dxa"/>
          </w:tblCellMar>
        </w:tblPrEx>
        <w:tc>
          <w:tcPr>
            <w:tcW w:w="850" w:type="dxa"/>
          </w:tcPr>
          <w:p w:rsidR="0009153D" w:rsidRDefault="0009153D">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9153D" w:rsidRDefault="0009153D">
            <w:pPr>
              <w:spacing w:line="240" w:lineRule="auto"/>
              <w:rPr>
                <w:sz w:val="24"/>
              </w:rPr>
            </w:pPr>
            <w:hyperlink w:anchor="Seif5" w:tooltip="ראיות העדים" w:history="1">
              <w:r>
                <w:rPr>
                  <w:rStyle w:val="Hyperlink"/>
                </w:rPr>
                <w:t>Go</w:t>
              </w:r>
            </w:hyperlink>
          </w:p>
        </w:tc>
        <w:tc>
          <w:tcPr>
            <w:tcW w:w="5669" w:type="dxa"/>
          </w:tcPr>
          <w:p w:rsidR="0009153D" w:rsidRDefault="0009153D">
            <w:pPr>
              <w:spacing w:line="240" w:lineRule="auto"/>
              <w:rPr>
                <w:sz w:val="24"/>
                <w:rtl/>
              </w:rPr>
            </w:pPr>
            <w:r>
              <w:rPr>
                <w:sz w:val="24"/>
                <w:rtl/>
              </w:rPr>
              <w:t>ראיות העדים</w:t>
            </w:r>
          </w:p>
        </w:tc>
        <w:tc>
          <w:tcPr>
            <w:tcW w:w="1247" w:type="dxa"/>
          </w:tcPr>
          <w:p w:rsidR="0009153D" w:rsidRDefault="0009153D">
            <w:pPr>
              <w:spacing w:line="240" w:lineRule="auto"/>
              <w:rPr>
                <w:sz w:val="24"/>
              </w:rPr>
            </w:pPr>
            <w:r>
              <w:rPr>
                <w:sz w:val="24"/>
                <w:rtl/>
              </w:rPr>
              <w:t xml:space="preserve">סעיף 6 </w:t>
            </w:r>
          </w:p>
        </w:tc>
      </w:tr>
      <w:tr w:rsidR="0009153D">
        <w:tblPrEx>
          <w:tblCellMar>
            <w:top w:w="0" w:type="dxa"/>
            <w:bottom w:w="0" w:type="dxa"/>
          </w:tblCellMar>
        </w:tblPrEx>
        <w:tc>
          <w:tcPr>
            <w:tcW w:w="850" w:type="dxa"/>
          </w:tcPr>
          <w:p w:rsidR="0009153D" w:rsidRDefault="0009153D">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9153D" w:rsidRDefault="0009153D">
            <w:pPr>
              <w:spacing w:line="240" w:lineRule="auto"/>
              <w:rPr>
                <w:sz w:val="24"/>
              </w:rPr>
            </w:pPr>
            <w:hyperlink w:anchor="Seif6" w:tooltip="טענות המבקשת" w:history="1">
              <w:r>
                <w:rPr>
                  <w:rStyle w:val="Hyperlink"/>
                </w:rPr>
                <w:t>Go</w:t>
              </w:r>
            </w:hyperlink>
          </w:p>
        </w:tc>
        <w:tc>
          <w:tcPr>
            <w:tcW w:w="5669" w:type="dxa"/>
          </w:tcPr>
          <w:p w:rsidR="0009153D" w:rsidRDefault="0009153D">
            <w:pPr>
              <w:spacing w:line="240" w:lineRule="auto"/>
              <w:rPr>
                <w:sz w:val="24"/>
                <w:rtl/>
              </w:rPr>
            </w:pPr>
            <w:r>
              <w:rPr>
                <w:sz w:val="24"/>
                <w:rtl/>
              </w:rPr>
              <w:t>טענות המבקשת</w:t>
            </w:r>
          </w:p>
        </w:tc>
        <w:tc>
          <w:tcPr>
            <w:tcW w:w="1247" w:type="dxa"/>
          </w:tcPr>
          <w:p w:rsidR="0009153D" w:rsidRDefault="0009153D">
            <w:pPr>
              <w:spacing w:line="240" w:lineRule="auto"/>
              <w:rPr>
                <w:sz w:val="24"/>
              </w:rPr>
            </w:pPr>
            <w:r>
              <w:rPr>
                <w:sz w:val="24"/>
                <w:rtl/>
              </w:rPr>
              <w:t xml:space="preserve">סעיף 7 </w:t>
            </w:r>
          </w:p>
        </w:tc>
      </w:tr>
      <w:tr w:rsidR="0009153D">
        <w:tblPrEx>
          <w:tblCellMar>
            <w:top w:w="0" w:type="dxa"/>
            <w:bottom w:w="0" w:type="dxa"/>
          </w:tblCellMar>
        </w:tblPrEx>
        <w:tc>
          <w:tcPr>
            <w:tcW w:w="850" w:type="dxa"/>
          </w:tcPr>
          <w:p w:rsidR="0009153D" w:rsidRDefault="0009153D">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9153D" w:rsidRDefault="0009153D">
            <w:pPr>
              <w:spacing w:line="240" w:lineRule="auto"/>
              <w:rPr>
                <w:sz w:val="24"/>
              </w:rPr>
            </w:pPr>
            <w:hyperlink w:anchor="Seif7" w:tooltip="ראיות אחרות" w:history="1">
              <w:r>
                <w:rPr>
                  <w:rStyle w:val="Hyperlink"/>
                </w:rPr>
                <w:t>Go</w:t>
              </w:r>
            </w:hyperlink>
          </w:p>
        </w:tc>
        <w:tc>
          <w:tcPr>
            <w:tcW w:w="5669" w:type="dxa"/>
          </w:tcPr>
          <w:p w:rsidR="0009153D" w:rsidRDefault="0009153D">
            <w:pPr>
              <w:spacing w:line="240" w:lineRule="auto"/>
              <w:rPr>
                <w:sz w:val="24"/>
                <w:rtl/>
              </w:rPr>
            </w:pPr>
            <w:r>
              <w:rPr>
                <w:sz w:val="24"/>
                <w:rtl/>
              </w:rPr>
              <w:t>ראיות אחרות</w:t>
            </w:r>
          </w:p>
        </w:tc>
        <w:tc>
          <w:tcPr>
            <w:tcW w:w="1247" w:type="dxa"/>
          </w:tcPr>
          <w:p w:rsidR="0009153D" w:rsidRDefault="0009153D">
            <w:pPr>
              <w:spacing w:line="240" w:lineRule="auto"/>
              <w:rPr>
                <w:sz w:val="24"/>
              </w:rPr>
            </w:pPr>
            <w:r>
              <w:rPr>
                <w:sz w:val="24"/>
                <w:rtl/>
              </w:rPr>
              <w:t xml:space="preserve">סעיף 8 </w:t>
            </w:r>
          </w:p>
        </w:tc>
      </w:tr>
      <w:tr w:rsidR="0009153D">
        <w:tblPrEx>
          <w:tblCellMar>
            <w:top w:w="0" w:type="dxa"/>
            <w:bottom w:w="0" w:type="dxa"/>
          </w:tblCellMar>
        </w:tblPrEx>
        <w:tc>
          <w:tcPr>
            <w:tcW w:w="850" w:type="dxa"/>
          </w:tcPr>
          <w:p w:rsidR="0009153D" w:rsidRDefault="0009153D">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9153D" w:rsidRDefault="0009153D">
            <w:pPr>
              <w:spacing w:line="240" w:lineRule="auto"/>
              <w:rPr>
                <w:sz w:val="24"/>
              </w:rPr>
            </w:pPr>
            <w:hyperlink w:anchor="Seif8" w:tooltip="רישום פרוטוקול בועדת הפטור" w:history="1">
              <w:r>
                <w:rPr>
                  <w:rStyle w:val="Hyperlink"/>
                </w:rPr>
                <w:t>Go</w:t>
              </w:r>
            </w:hyperlink>
          </w:p>
        </w:tc>
        <w:tc>
          <w:tcPr>
            <w:tcW w:w="5669" w:type="dxa"/>
          </w:tcPr>
          <w:p w:rsidR="0009153D" w:rsidRDefault="0009153D">
            <w:pPr>
              <w:spacing w:line="240" w:lineRule="auto"/>
              <w:rPr>
                <w:sz w:val="24"/>
                <w:rtl/>
              </w:rPr>
            </w:pPr>
            <w:r>
              <w:rPr>
                <w:sz w:val="24"/>
                <w:rtl/>
              </w:rPr>
              <w:t>רישום פרוטוקול בועדת הפטור</w:t>
            </w:r>
          </w:p>
        </w:tc>
        <w:tc>
          <w:tcPr>
            <w:tcW w:w="1247" w:type="dxa"/>
          </w:tcPr>
          <w:p w:rsidR="0009153D" w:rsidRDefault="0009153D">
            <w:pPr>
              <w:spacing w:line="240" w:lineRule="auto"/>
              <w:rPr>
                <w:sz w:val="24"/>
              </w:rPr>
            </w:pPr>
            <w:r>
              <w:rPr>
                <w:sz w:val="24"/>
                <w:rtl/>
              </w:rPr>
              <w:t xml:space="preserve">סעיף 9 </w:t>
            </w:r>
          </w:p>
        </w:tc>
      </w:tr>
      <w:tr w:rsidR="0009153D">
        <w:tblPrEx>
          <w:tblCellMar>
            <w:top w:w="0" w:type="dxa"/>
            <w:bottom w:w="0" w:type="dxa"/>
          </w:tblCellMar>
        </w:tblPrEx>
        <w:tc>
          <w:tcPr>
            <w:tcW w:w="850" w:type="dxa"/>
          </w:tcPr>
          <w:p w:rsidR="0009153D" w:rsidRDefault="0009153D">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9153D" w:rsidRDefault="0009153D">
            <w:pPr>
              <w:spacing w:line="240" w:lineRule="auto"/>
              <w:rPr>
                <w:sz w:val="24"/>
              </w:rPr>
            </w:pPr>
            <w:hyperlink w:anchor="Seif9" w:tooltip="הוכחת הטעמים לועדת הפטור" w:history="1">
              <w:r>
                <w:rPr>
                  <w:rStyle w:val="Hyperlink"/>
                </w:rPr>
                <w:t>Go</w:t>
              </w:r>
            </w:hyperlink>
          </w:p>
        </w:tc>
        <w:tc>
          <w:tcPr>
            <w:tcW w:w="5669" w:type="dxa"/>
          </w:tcPr>
          <w:p w:rsidR="0009153D" w:rsidRDefault="0009153D">
            <w:pPr>
              <w:spacing w:line="240" w:lineRule="auto"/>
              <w:rPr>
                <w:sz w:val="24"/>
                <w:rtl/>
              </w:rPr>
            </w:pPr>
            <w:r>
              <w:rPr>
                <w:sz w:val="24"/>
                <w:rtl/>
              </w:rPr>
              <w:t>הוכחת הטעמים לועדת הפטור</w:t>
            </w:r>
          </w:p>
        </w:tc>
        <w:tc>
          <w:tcPr>
            <w:tcW w:w="1247" w:type="dxa"/>
          </w:tcPr>
          <w:p w:rsidR="0009153D" w:rsidRDefault="0009153D">
            <w:pPr>
              <w:spacing w:line="240" w:lineRule="auto"/>
              <w:rPr>
                <w:sz w:val="24"/>
              </w:rPr>
            </w:pPr>
            <w:r>
              <w:rPr>
                <w:sz w:val="24"/>
                <w:rtl/>
              </w:rPr>
              <w:t xml:space="preserve">סעיף 10 </w:t>
            </w:r>
          </w:p>
        </w:tc>
      </w:tr>
      <w:tr w:rsidR="0009153D">
        <w:tblPrEx>
          <w:tblCellMar>
            <w:top w:w="0" w:type="dxa"/>
            <w:bottom w:w="0" w:type="dxa"/>
          </w:tblCellMar>
        </w:tblPrEx>
        <w:tc>
          <w:tcPr>
            <w:tcW w:w="850" w:type="dxa"/>
          </w:tcPr>
          <w:p w:rsidR="0009153D" w:rsidRDefault="0009153D">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9153D" w:rsidRDefault="0009153D">
            <w:pPr>
              <w:spacing w:line="240" w:lineRule="auto"/>
              <w:rPr>
                <w:sz w:val="24"/>
              </w:rPr>
            </w:pPr>
            <w:hyperlink w:anchor="Seif10" w:tooltip="אי הוכחת הטעמים לועדת הפטור" w:history="1">
              <w:r>
                <w:rPr>
                  <w:rStyle w:val="Hyperlink"/>
                </w:rPr>
                <w:t>Go</w:t>
              </w:r>
            </w:hyperlink>
          </w:p>
        </w:tc>
        <w:tc>
          <w:tcPr>
            <w:tcW w:w="5669" w:type="dxa"/>
          </w:tcPr>
          <w:p w:rsidR="0009153D" w:rsidRDefault="0009153D">
            <w:pPr>
              <w:spacing w:line="240" w:lineRule="auto"/>
              <w:rPr>
                <w:sz w:val="24"/>
                <w:rtl/>
              </w:rPr>
            </w:pPr>
            <w:r>
              <w:rPr>
                <w:sz w:val="24"/>
                <w:rtl/>
              </w:rPr>
              <w:t>אי הוכחת הטעמים לועדת הפטור</w:t>
            </w:r>
          </w:p>
        </w:tc>
        <w:tc>
          <w:tcPr>
            <w:tcW w:w="1247" w:type="dxa"/>
          </w:tcPr>
          <w:p w:rsidR="0009153D" w:rsidRDefault="0009153D">
            <w:pPr>
              <w:spacing w:line="240" w:lineRule="auto"/>
              <w:rPr>
                <w:sz w:val="24"/>
              </w:rPr>
            </w:pPr>
            <w:r>
              <w:rPr>
                <w:sz w:val="24"/>
                <w:rtl/>
              </w:rPr>
              <w:t xml:space="preserve">סעיף 11 </w:t>
            </w:r>
          </w:p>
        </w:tc>
      </w:tr>
      <w:tr w:rsidR="0009153D">
        <w:tblPrEx>
          <w:tblCellMar>
            <w:top w:w="0" w:type="dxa"/>
            <w:bottom w:w="0" w:type="dxa"/>
          </w:tblCellMar>
        </w:tblPrEx>
        <w:tc>
          <w:tcPr>
            <w:tcW w:w="850" w:type="dxa"/>
          </w:tcPr>
          <w:p w:rsidR="0009153D" w:rsidRDefault="0009153D">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9153D" w:rsidRDefault="0009153D">
            <w:pPr>
              <w:spacing w:line="240" w:lineRule="auto"/>
              <w:rPr>
                <w:sz w:val="24"/>
              </w:rPr>
            </w:pPr>
            <w:hyperlink w:anchor="Seif11" w:tooltip="ערר" w:history="1">
              <w:r>
                <w:rPr>
                  <w:rStyle w:val="Hyperlink"/>
                </w:rPr>
                <w:t>Go</w:t>
              </w:r>
            </w:hyperlink>
          </w:p>
        </w:tc>
        <w:tc>
          <w:tcPr>
            <w:tcW w:w="5669" w:type="dxa"/>
          </w:tcPr>
          <w:p w:rsidR="0009153D" w:rsidRDefault="0009153D">
            <w:pPr>
              <w:spacing w:line="240" w:lineRule="auto"/>
              <w:rPr>
                <w:sz w:val="24"/>
                <w:rtl/>
              </w:rPr>
            </w:pPr>
            <w:r>
              <w:rPr>
                <w:sz w:val="24"/>
                <w:rtl/>
              </w:rPr>
              <w:t>ערר</w:t>
            </w:r>
          </w:p>
        </w:tc>
        <w:tc>
          <w:tcPr>
            <w:tcW w:w="1247" w:type="dxa"/>
          </w:tcPr>
          <w:p w:rsidR="0009153D" w:rsidRDefault="0009153D">
            <w:pPr>
              <w:spacing w:line="240" w:lineRule="auto"/>
              <w:rPr>
                <w:sz w:val="24"/>
              </w:rPr>
            </w:pPr>
            <w:r>
              <w:rPr>
                <w:sz w:val="24"/>
                <w:rtl/>
              </w:rPr>
              <w:t xml:space="preserve">סעיף 12 </w:t>
            </w:r>
          </w:p>
        </w:tc>
      </w:tr>
      <w:tr w:rsidR="0009153D">
        <w:tblPrEx>
          <w:tblCellMar>
            <w:top w:w="0" w:type="dxa"/>
            <w:bottom w:w="0" w:type="dxa"/>
          </w:tblCellMar>
        </w:tblPrEx>
        <w:tc>
          <w:tcPr>
            <w:tcW w:w="850" w:type="dxa"/>
          </w:tcPr>
          <w:p w:rsidR="0009153D" w:rsidRDefault="0009153D">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9153D" w:rsidRDefault="0009153D">
            <w:pPr>
              <w:spacing w:line="240" w:lineRule="auto"/>
              <w:rPr>
                <w:sz w:val="24"/>
              </w:rPr>
            </w:pPr>
            <w:hyperlink w:anchor="Seif12" w:tooltip="הגשת הערר" w:history="1">
              <w:r>
                <w:rPr>
                  <w:rStyle w:val="Hyperlink"/>
                </w:rPr>
                <w:t>Go</w:t>
              </w:r>
            </w:hyperlink>
          </w:p>
        </w:tc>
        <w:tc>
          <w:tcPr>
            <w:tcW w:w="5669" w:type="dxa"/>
          </w:tcPr>
          <w:p w:rsidR="0009153D" w:rsidRDefault="0009153D">
            <w:pPr>
              <w:spacing w:line="240" w:lineRule="auto"/>
              <w:rPr>
                <w:sz w:val="24"/>
                <w:rtl/>
              </w:rPr>
            </w:pPr>
            <w:r>
              <w:rPr>
                <w:sz w:val="24"/>
                <w:rtl/>
              </w:rPr>
              <w:t>הגשת הערר</w:t>
            </w:r>
          </w:p>
        </w:tc>
        <w:tc>
          <w:tcPr>
            <w:tcW w:w="1247" w:type="dxa"/>
          </w:tcPr>
          <w:p w:rsidR="0009153D" w:rsidRDefault="0009153D">
            <w:pPr>
              <w:spacing w:line="240" w:lineRule="auto"/>
              <w:rPr>
                <w:sz w:val="24"/>
              </w:rPr>
            </w:pPr>
            <w:r>
              <w:rPr>
                <w:sz w:val="24"/>
                <w:rtl/>
              </w:rPr>
              <w:t xml:space="preserve">סעיף 13 </w:t>
            </w:r>
          </w:p>
        </w:tc>
      </w:tr>
      <w:tr w:rsidR="0009153D">
        <w:tblPrEx>
          <w:tblCellMar>
            <w:top w:w="0" w:type="dxa"/>
            <w:bottom w:w="0" w:type="dxa"/>
          </w:tblCellMar>
        </w:tblPrEx>
        <w:tc>
          <w:tcPr>
            <w:tcW w:w="850" w:type="dxa"/>
          </w:tcPr>
          <w:p w:rsidR="0009153D" w:rsidRDefault="0009153D">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9153D" w:rsidRDefault="0009153D">
            <w:pPr>
              <w:spacing w:line="240" w:lineRule="auto"/>
              <w:rPr>
                <w:sz w:val="24"/>
              </w:rPr>
            </w:pPr>
            <w:hyperlink w:anchor="Seif13" w:tooltip="אי תחולת סדרי הדין ודיני ראיה" w:history="1">
              <w:r>
                <w:rPr>
                  <w:rStyle w:val="Hyperlink"/>
                </w:rPr>
                <w:t>Go</w:t>
              </w:r>
            </w:hyperlink>
          </w:p>
        </w:tc>
        <w:tc>
          <w:tcPr>
            <w:tcW w:w="5669" w:type="dxa"/>
          </w:tcPr>
          <w:p w:rsidR="0009153D" w:rsidRDefault="0009153D">
            <w:pPr>
              <w:spacing w:line="240" w:lineRule="auto"/>
              <w:rPr>
                <w:sz w:val="24"/>
                <w:rtl/>
              </w:rPr>
            </w:pPr>
            <w:r>
              <w:rPr>
                <w:sz w:val="24"/>
                <w:rtl/>
              </w:rPr>
              <w:t>אי תחולת סדרי הדין ודיני ראיה</w:t>
            </w:r>
          </w:p>
        </w:tc>
        <w:tc>
          <w:tcPr>
            <w:tcW w:w="1247" w:type="dxa"/>
          </w:tcPr>
          <w:p w:rsidR="0009153D" w:rsidRDefault="0009153D">
            <w:pPr>
              <w:spacing w:line="240" w:lineRule="auto"/>
              <w:rPr>
                <w:sz w:val="24"/>
              </w:rPr>
            </w:pPr>
            <w:r>
              <w:rPr>
                <w:sz w:val="24"/>
                <w:rtl/>
              </w:rPr>
              <w:t xml:space="preserve">סעיף 14 </w:t>
            </w:r>
          </w:p>
        </w:tc>
      </w:tr>
      <w:tr w:rsidR="0009153D">
        <w:tblPrEx>
          <w:tblCellMar>
            <w:top w:w="0" w:type="dxa"/>
            <w:bottom w:w="0" w:type="dxa"/>
          </w:tblCellMar>
        </w:tblPrEx>
        <w:tc>
          <w:tcPr>
            <w:tcW w:w="850" w:type="dxa"/>
          </w:tcPr>
          <w:p w:rsidR="0009153D" w:rsidRDefault="0009153D">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9153D" w:rsidRDefault="0009153D">
            <w:pPr>
              <w:spacing w:line="240" w:lineRule="auto"/>
              <w:rPr>
                <w:sz w:val="24"/>
              </w:rPr>
            </w:pPr>
            <w:hyperlink w:anchor="Seif14" w:tooltip="הוכחת הטעמים בועדת הערר" w:history="1">
              <w:r>
                <w:rPr>
                  <w:rStyle w:val="Hyperlink"/>
                </w:rPr>
                <w:t>Go</w:t>
              </w:r>
            </w:hyperlink>
          </w:p>
        </w:tc>
        <w:tc>
          <w:tcPr>
            <w:tcW w:w="5669" w:type="dxa"/>
          </w:tcPr>
          <w:p w:rsidR="0009153D" w:rsidRDefault="0009153D">
            <w:pPr>
              <w:spacing w:line="240" w:lineRule="auto"/>
              <w:rPr>
                <w:sz w:val="24"/>
                <w:rtl/>
              </w:rPr>
            </w:pPr>
            <w:r>
              <w:rPr>
                <w:sz w:val="24"/>
                <w:rtl/>
              </w:rPr>
              <w:t>הוכחת הטעמים בועדת הערר</w:t>
            </w:r>
          </w:p>
        </w:tc>
        <w:tc>
          <w:tcPr>
            <w:tcW w:w="1247" w:type="dxa"/>
          </w:tcPr>
          <w:p w:rsidR="0009153D" w:rsidRDefault="0009153D">
            <w:pPr>
              <w:spacing w:line="240" w:lineRule="auto"/>
              <w:rPr>
                <w:sz w:val="24"/>
              </w:rPr>
            </w:pPr>
            <w:r>
              <w:rPr>
                <w:sz w:val="24"/>
                <w:rtl/>
              </w:rPr>
              <w:t xml:space="preserve">סעיף 15 </w:t>
            </w:r>
          </w:p>
        </w:tc>
      </w:tr>
      <w:tr w:rsidR="0009153D">
        <w:tblPrEx>
          <w:tblCellMar>
            <w:top w:w="0" w:type="dxa"/>
            <w:bottom w:w="0" w:type="dxa"/>
          </w:tblCellMar>
        </w:tblPrEx>
        <w:tc>
          <w:tcPr>
            <w:tcW w:w="850" w:type="dxa"/>
          </w:tcPr>
          <w:p w:rsidR="0009153D" w:rsidRDefault="0009153D">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9153D" w:rsidRDefault="0009153D">
            <w:pPr>
              <w:spacing w:line="240" w:lineRule="auto"/>
              <w:rPr>
                <w:sz w:val="24"/>
              </w:rPr>
            </w:pPr>
            <w:hyperlink w:anchor="Seif15" w:tooltip="אי הוכחת הטעמים בועדת הערר" w:history="1">
              <w:r>
                <w:rPr>
                  <w:rStyle w:val="Hyperlink"/>
                </w:rPr>
                <w:t>Go</w:t>
              </w:r>
            </w:hyperlink>
          </w:p>
        </w:tc>
        <w:tc>
          <w:tcPr>
            <w:tcW w:w="5669" w:type="dxa"/>
          </w:tcPr>
          <w:p w:rsidR="0009153D" w:rsidRDefault="0009153D">
            <w:pPr>
              <w:spacing w:line="240" w:lineRule="auto"/>
              <w:rPr>
                <w:sz w:val="24"/>
                <w:rtl/>
              </w:rPr>
            </w:pPr>
            <w:r>
              <w:rPr>
                <w:sz w:val="24"/>
                <w:rtl/>
              </w:rPr>
              <w:t>אי הוכחת הטעמים בועדת הערר</w:t>
            </w:r>
          </w:p>
        </w:tc>
        <w:tc>
          <w:tcPr>
            <w:tcW w:w="1247" w:type="dxa"/>
          </w:tcPr>
          <w:p w:rsidR="0009153D" w:rsidRDefault="0009153D">
            <w:pPr>
              <w:spacing w:line="240" w:lineRule="auto"/>
              <w:rPr>
                <w:sz w:val="24"/>
              </w:rPr>
            </w:pPr>
            <w:r>
              <w:rPr>
                <w:sz w:val="24"/>
                <w:rtl/>
              </w:rPr>
              <w:t xml:space="preserve">סעיף 16 </w:t>
            </w:r>
          </w:p>
        </w:tc>
      </w:tr>
      <w:tr w:rsidR="0009153D">
        <w:tblPrEx>
          <w:tblCellMar>
            <w:top w:w="0" w:type="dxa"/>
            <w:bottom w:w="0" w:type="dxa"/>
          </w:tblCellMar>
        </w:tblPrEx>
        <w:tc>
          <w:tcPr>
            <w:tcW w:w="850" w:type="dxa"/>
          </w:tcPr>
          <w:p w:rsidR="0009153D" w:rsidRDefault="0009153D">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9153D" w:rsidRDefault="0009153D">
            <w:pPr>
              <w:spacing w:line="240" w:lineRule="auto"/>
              <w:rPr>
                <w:sz w:val="24"/>
              </w:rPr>
            </w:pPr>
            <w:hyperlink w:anchor="Seif16" w:tooltip="הוראת מעבר" w:history="1">
              <w:r>
                <w:rPr>
                  <w:rStyle w:val="Hyperlink"/>
                </w:rPr>
                <w:t>Go</w:t>
              </w:r>
            </w:hyperlink>
          </w:p>
        </w:tc>
        <w:tc>
          <w:tcPr>
            <w:tcW w:w="5669" w:type="dxa"/>
          </w:tcPr>
          <w:p w:rsidR="0009153D" w:rsidRDefault="0009153D">
            <w:pPr>
              <w:spacing w:line="240" w:lineRule="auto"/>
              <w:rPr>
                <w:sz w:val="24"/>
                <w:rtl/>
              </w:rPr>
            </w:pPr>
            <w:r>
              <w:rPr>
                <w:sz w:val="24"/>
                <w:rtl/>
              </w:rPr>
              <w:t>הוראת מעבר</w:t>
            </w:r>
          </w:p>
        </w:tc>
        <w:tc>
          <w:tcPr>
            <w:tcW w:w="1247" w:type="dxa"/>
          </w:tcPr>
          <w:p w:rsidR="0009153D" w:rsidRDefault="0009153D">
            <w:pPr>
              <w:spacing w:line="240" w:lineRule="auto"/>
              <w:rPr>
                <w:sz w:val="24"/>
              </w:rPr>
            </w:pPr>
            <w:r>
              <w:rPr>
                <w:sz w:val="24"/>
                <w:rtl/>
              </w:rPr>
              <w:t xml:space="preserve">סעיף 17 </w:t>
            </w:r>
          </w:p>
        </w:tc>
      </w:tr>
      <w:tr w:rsidR="0009153D">
        <w:tblPrEx>
          <w:tblCellMar>
            <w:top w:w="0" w:type="dxa"/>
            <w:bottom w:w="0" w:type="dxa"/>
          </w:tblCellMar>
        </w:tblPrEx>
        <w:tc>
          <w:tcPr>
            <w:tcW w:w="850" w:type="dxa"/>
          </w:tcPr>
          <w:p w:rsidR="0009153D" w:rsidRDefault="0009153D">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9153D" w:rsidRDefault="0009153D">
            <w:pPr>
              <w:spacing w:line="240" w:lineRule="auto"/>
              <w:rPr>
                <w:sz w:val="24"/>
              </w:rPr>
            </w:pPr>
            <w:hyperlink w:anchor="Seif17" w:tooltip="ביטול" w:history="1">
              <w:r>
                <w:rPr>
                  <w:rStyle w:val="Hyperlink"/>
                </w:rPr>
                <w:t>Go</w:t>
              </w:r>
            </w:hyperlink>
          </w:p>
        </w:tc>
        <w:tc>
          <w:tcPr>
            <w:tcW w:w="5669" w:type="dxa"/>
          </w:tcPr>
          <w:p w:rsidR="0009153D" w:rsidRDefault="0009153D">
            <w:pPr>
              <w:spacing w:line="240" w:lineRule="auto"/>
              <w:rPr>
                <w:sz w:val="24"/>
                <w:rtl/>
              </w:rPr>
            </w:pPr>
            <w:r>
              <w:rPr>
                <w:sz w:val="24"/>
                <w:rtl/>
              </w:rPr>
              <w:t>ביטול</w:t>
            </w:r>
          </w:p>
        </w:tc>
        <w:tc>
          <w:tcPr>
            <w:tcW w:w="1247" w:type="dxa"/>
          </w:tcPr>
          <w:p w:rsidR="0009153D" w:rsidRDefault="0009153D">
            <w:pPr>
              <w:spacing w:line="240" w:lineRule="auto"/>
              <w:rPr>
                <w:sz w:val="24"/>
              </w:rPr>
            </w:pPr>
            <w:r>
              <w:rPr>
                <w:sz w:val="24"/>
                <w:rtl/>
              </w:rPr>
              <w:t xml:space="preserve">סעיף 18 </w:t>
            </w:r>
          </w:p>
        </w:tc>
      </w:tr>
      <w:tr w:rsidR="0009153D">
        <w:tblPrEx>
          <w:tblCellMar>
            <w:top w:w="0" w:type="dxa"/>
            <w:bottom w:w="0" w:type="dxa"/>
          </w:tblCellMar>
        </w:tblPrEx>
        <w:tc>
          <w:tcPr>
            <w:tcW w:w="850" w:type="dxa"/>
          </w:tcPr>
          <w:p w:rsidR="0009153D" w:rsidRDefault="0009153D">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9153D" w:rsidRDefault="0009153D">
            <w:pPr>
              <w:spacing w:line="240" w:lineRule="auto"/>
              <w:rPr>
                <w:sz w:val="24"/>
              </w:rPr>
            </w:pPr>
            <w:hyperlink w:anchor="Seif18" w:tooltip="השם" w:history="1">
              <w:r>
                <w:rPr>
                  <w:rStyle w:val="Hyperlink"/>
                </w:rPr>
                <w:t>Go</w:t>
              </w:r>
            </w:hyperlink>
          </w:p>
        </w:tc>
        <w:tc>
          <w:tcPr>
            <w:tcW w:w="5669" w:type="dxa"/>
          </w:tcPr>
          <w:p w:rsidR="0009153D" w:rsidRDefault="0009153D">
            <w:pPr>
              <w:spacing w:line="240" w:lineRule="auto"/>
              <w:rPr>
                <w:sz w:val="24"/>
                <w:rtl/>
              </w:rPr>
            </w:pPr>
            <w:r>
              <w:rPr>
                <w:sz w:val="24"/>
                <w:rtl/>
              </w:rPr>
              <w:t>השם</w:t>
            </w:r>
          </w:p>
        </w:tc>
        <w:tc>
          <w:tcPr>
            <w:tcW w:w="1247" w:type="dxa"/>
          </w:tcPr>
          <w:p w:rsidR="0009153D" w:rsidRDefault="0009153D">
            <w:pPr>
              <w:spacing w:line="240" w:lineRule="auto"/>
              <w:rPr>
                <w:sz w:val="24"/>
              </w:rPr>
            </w:pPr>
            <w:r>
              <w:rPr>
                <w:sz w:val="24"/>
                <w:rtl/>
              </w:rPr>
              <w:t xml:space="preserve">סעיף 19 </w:t>
            </w:r>
          </w:p>
        </w:tc>
      </w:tr>
      <w:tr w:rsidR="0009153D">
        <w:tblPrEx>
          <w:tblCellMar>
            <w:top w:w="0" w:type="dxa"/>
            <w:bottom w:w="0" w:type="dxa"/>
          </w:tblCellMar>
        </w:tblPrEx>
        <w:tc>
          <w:tcPr>
            <w:tcW w:w="850" w:type="dxa"/>
          </w:tcPr>
          <w:p w:rsidR="0009153D" w:rsidRDefault="0009153D">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9153D" w:rsidRDefault="0009153D">
            <w:pPr>
              <w:spacing w:line="240" w:lineRule="auto"/>
              <w:rPr>
                <w:sz w:val="24"/>
              </w:rPr>
            </w:pPr>
            <w:hyperlink w:anchor="med0" w:tooltip="תוספת" w:history="1">
              <w:r>
                <w:rPr>
                  <w:rStyle w:val="Hyperlink"/>
                </w:rPr>
                <w:t>Go</w:t>
              </w:r>
            </w:hyperlink>
          </w:p>
        </w:tc>
        <w:tc>
          <w:tcPr>
            <w:tcW w:w="5669" w:type="dxa"/>
          </w:tcPr>
          <w:p w:rsidR="0009153D" w:rsidRDefault="0009153D">
            <w:pPr>
              <w:spacing w:line="240" w:lineRule="auto"/>
              <w:rPr>
                <w:sz w:val="24"/>
              </w:rPr>
            </w:pPr>
            <w:r>
              <w:rPr>
                <w:sz w:val="24"/>
                <w:rtl/>
              </w:rPr>
              <w:t>תוספת</w:t>
            </w:r>
          </w:p>
        </w:tc>
        <w:tc>
          <w:tcPr>
            <w:tcW w:w="1247" w:type="dxa"/>
          </w:tcPr>
          <w:p w:rsidR="0009153D" w:rsidRDefault="0009153D">
            <w:pPr>
              <w:spacing w:line="240" w:lineRule="auto"/>
              <w:rPr>
                <w:sz w:val="24"/>
              </w:rPr>
            </w:pPr>
          </w:p>
        </w:tc>
      </w:tr>
    </w:tbl>
    <w:p w:rsidR="0009153D" w:rsidRDefault="0009153D">
      <w:pPr>
        <w:pStyle w:val="big-header"/>
        <w:ind w:left="0" w:right="1134"/>
        <w:rPr>
          <w:rtl/>
        </w:rPr>
      </w:pPr>
    </w:p>
    <w:p w:rsidR="0009153D" w:rsidRPr="00661325" w:rsidRDefault="0009153D" w:rsidP="00661325">
      <w:pPr>
        <w:pStyle w:val="big-header"/>
        <w:ind w:left="0" w:right="1134"/>
        <w:rPr>
          <w:rStyle w:val="default"/>
          <w:rFonts w:cs="FrankRuehl"/>
          <w:szCs w:val="32"/>
          <w:rtl/>
        </w:rPr>
      </w:pPr>
      <w:r>
        <w:rPr>
          <w:rtl/>
        </w:rPr>
        <w:br w:type="page"/>
      </w:r>
      <w:r>
        <w:rPr>
          <w:rFonts w:hint="cs"/>
          <w:rtl/>
        </w:rPr>
        <w:lastRenderedPageBreak/>
        <w:t>תקנות שירות בטחון (פטור נשים משירות בטחון מטעמים שבמצפון או שבהווי משפחתי דתי), תשל"ח-1978</w:t>
      </w:r>
      <w:r>
        <w:rPr>
          <w:rStyle w:val="default"/>
          <w:rtl/>
        </w:rPr>
        <w:footnoteReference w:customMarkFollows="1" w:id="1"/>
        <w:t>*</w:t>
      </w:r>
    </w:p>
    <w:p w:rsidR="0009153D" w:rsidRDefault="0009153D">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30 ו-45 לחוק שירות בטחון, תשי"ט-</w:t>
      </w:r>
      <w:r>
        <w:rPr>
          <w:rStyle w:val="default"/>
          <w:rFonts w:cs="FrankRuehl"/>
          <w:rtl/>
        </w:rPr>
        <w:t>1959 [</w:t>
      </w:r>
      <w:r>
        <w:rPr>
          <w:rStyle w:val="default"/>
          <w:rFonts w:cs="FrankRuehl" w:hint="cs"/>
          <w:rtl/>
        </w:rPr>
        <w:t xml:space="preserve">נוסח משולב] (להלן </w:t>
      </w:r>
      <w:r w:rsidR="00712AFB">
        <w:rPr>
          <w:rStyle w:val="default"/>
          <w:rFonts w:cs="FrankRuehl"/>
          <w:rtl/>
        </w:rPr>
        <w:t>–</w:t>
      </w:r>
      <w:r>
        <w:rPr>
          <w:rStyle w:val="default"/>
          <w:rFonts w:cs="FrankRuehl" w:hint="cs"/>
          <w:rtl/>
        </w:rPr>
        <w:t xml:space="preserve"> החוק), אני מתקין תקנות אלה:</w:t>
      </w:r>
    </w:p>
    <w:p w:rsidR="0009153D" w:rsidRDefault="0009153D">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24pt;z-index:251648512" o:allowincell="f" filled="f" stroked="f" strokecolor="lime" strokeweight=".25pt">
            <v:textbox inset="0,0,0,0">
              <w:txbxContent>
                <w:p w:rsidR="0009153D" w:rsidRDefault="0009153D">
                  <w:pPr>
                    <w:spacing w:line="160" w:lineRule="exact"/>
                    <w:jc w:val="left"/>
                    <w:rPr>
                      <w:rFonts w:cs="Miriam"/>
                      <w:noProof/>
                      <w:szCs w:val="18"/>
                      <w:rtl/>
                    </w:rPr>
                  </w:pPr>
                  <w:r>
                    <w:rPr>
                      <w:rFonts w:cs="Miriam"/>
                      <w:szCs w:val="18"/>
                      <w:rtl/>
                    </w:rPr>
                    <w:t>מ</w:t>
                  </w:r>
                  <w:r>
                    <w:rPr>
                      <w:rFonts w:cs="Miriam" w:hint="cs"/>
                      <w:szCs w:val="18"/>
                      <w:rtl/>
                    </w:rPr>
                    <w:t>ינוי ועד</w:t>
                  </w:r>
                  <w:r>
                    <w:rPr>
                      <w:rFonts w:cs="Miriam"/>
                      <w:szCs w:val="18"/>
                      <w:rtl/>
                    </w:rPr>
                    <w:t>ו</w:t>
                  </w:r>
                  <w:r>
                    <w:rPr>
                      <w:rFonts w:cs="Miriam" w:hint="cs"/>
                      <w:szCs w:val="18"/>
                      <w:rtl/>
                    </w:rPr>
                    <w:t xml:space="preserve">ת </w:t>
                  </w:r>
                  <w:r>
                    <w:rPr>
                      <w:rFonts w:cs="Miriam"/>
                      <w:szCs w:val="18"/>
                      <w:rtl/>
                    </w:rPr>
                    <w:t>פ</w:t>
                  </w:r>
                  <w:r>
                    <w:rPr>
                      <w:rFonts w:cs="Miriam" w:hint="cs"/>
                      <w:szCs w:val="18"/>
                      <w:rtl/>
                    </w:rPr>
                    <w:t xml:space="preserve">טור וועדות </w:t>
                  </w:r>
                  <w:r>
                    <w:rPr>
                      <w:rFonts w:cs="Miriam"/>
                      <w:szCs w:val="18"/>
                      <w:rtl/>
                    </w:rPr>
                    <w:t>ע</w:t>
                  </w:r>
                  <w:r>
                    <w:rPr>
                      <w:rFonts w:cs="Miriam" w:hint="cs"/>
                      <w:szCs w:val="18"/>
                      <w:rtl/>
                    </w:rPr>
                    <w:t>רר</w:t>
                  </w:r>
                </w:p>
              </w:txbxContent>
            </v:textbox>
            <w10:anchorlock/>
          </v:rect>
        </w:pict>
      </w:r>
      <w:r>
        <w:rPr>
          <w:rStyle w:val="big-number"/>
          <w:rtl/>
        </w:rPr>
        <w:t>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שר הבטחון ימנה ועדת פטור שתהיה רשות לענין סעיף 30(ג) לחוק, וכן ועדת ערר.</w:t>
      </w:r>
    </w:p>
    <w:p w:rsidR="0009153D" w:rsidRDefault="0009153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מינוי ועדת פטור או ועדת ערר יכול שיהיה לכל הארץ או לאיזור מסוים.</w:t>
      </w:r>
    </w:p>
    <w:p w:rsidR="0009153D" w:rsidRDefault="0009153D">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24pt;z-index:251649536" o:allowincell="f" filled="f" stroked="f" strokecolor="lime" strokeweight=".25pt">
            <v:textbox inset="0,0,0,0">
              <w:txbxContent>
                <w:p w:rsidR="0009153D" w:rsidRDefault="0009153D">
                  <w:pPr>
                    <w:spacing w:line="160" w:lineRule="exact"/>
                    <w:jc w:val="left"/>
                    <w:rPr>
                      <w:rFonts w:cs="Miriam"/>
                      <w:noProof/>
                      <w:szCs w:val="18"/>
                      <w:rtl/>
                    </w:rPr>
                  </w:pPr>
                  <w:r>
                    <w:rPr>
                      <w:rFonts w:cs="Miriam"/>
                      <w:szCs w:val="18"/>
                      <w:rtl/>
                    </w:rPr>
                    <w:t>מ</w:t>
                  </w:r>
                  <w:r>
                    <w:rPr>
                      <w:rFonts w:cs="Miriam" w:hint="cs"/>
                      <w:szCs w:val="18"/>
                      <w:rtl/>
                    </w:rPr>
                    <w:t xml:space="preserve">ספר החברים </w:t>
                  </w:r>
                  <w:r>
                    <w:rPr>
                      <w:rFonts w:cs="Miriam"/>
                      <w:szCs w:val="18"/>
                      <w:rtl/>
                    </w:rPr>
                    <w:t>ב</w:t>
                  </w:r>
                  <w:r>
                    <w:rPr>
                      <w:rFonts w:cs="Miriam" w:hint="cs"/>
                      <w:szCs w:val="18"/>
                      <w:rtl/>
                    </w:rPr>
                    <w:t>ועדת הפט</w:t>
                  </w:r>
                  <w:r>
                    <w:rPr>
                      <w:rFonts w:cs="Miriam"/>
                      <w:szCs w:val="18"/>
                      <w:rtl/>
                    </w:rPr>
                    <w:t>ו</w:t>
                  </w:r>
                  <w:r>
                    <w:rPr>
                      <w:rFonts w:cs="Miriam" w:hint="cs"/>
                      <w:szCs w:val="18"/>
                      <w:rtl/>
                    </w:rPr>
                    <w:t xml:space="preserve">ר </w:t>
                  </w:r>
                  <w:r>
                    <w:rPr>
                      <w:rFonts w:cs="Miriam"/>
                      <w:szCs w:val="18"/>
                      <w:rtl/>
                    </w:rPr>
                    <w:t>ו</w:t>
                  </w:r>
                  <w:r>
                    <w:rPr>
                      <w:rFonts w:cs="Miriam" w:hint="cs"/>
                      <w:szCs w:val="18"/>
                      <w:rtl/>
                    </w:rPr>
                    <w:t>בועדת הערר</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ועדת פטור או ערר תהיה של שלושה או חמישה חברים ובכללם יושב ראש הועדה.</w:t>
      </w:r>
    </w:p>
    <w:p w:rsidR="0009153D" w:rsidRDefault="0009153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רוב חברי ועדת הפטור או ועדת הערר יהווה מנין חוקי לכל דבר שהועדה מוסמכת לעשותו לפי תקנות אלה, ובלבד שלדיון באותו דבר הזמין יושב ראש הועדה את כל חבריה.</w:t>
      </w:r>
    </w:p>
    <w:p w:rsidR="0009153D" w:rsidRDefault="0009153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וע</w:t>
      </w:r>
      <w:r>
        <w:rPr>
          <w:rStyle w:val="default"/>
          <w:rFonts w:cs="FrankRuehl"/>
          <w:rtl/>
        </w:rPr>
        <w:t>ד</w:t>
      </w:r>
      <w:r>
        <w:rPr>
          <w:rStyle w:val="default"/>
          <w:rFonts w:cs="FrankRuehl" w:hint="cs"/>
          <w:rtl/>
        </w:rPr>
        <w:t xml:space="preserve">ת הפטור או ועדת הערר תחליט פה אחד או ברוב קולות; היו קולות חברי הועדה הנוכחים בדיון שקולים </w:t>
      </w:r>
      <w:r w:rsidR="00712AFB">
        <w:rPr>
          <w:rStyle w:val="default"/>
          <w:rFonts w:cs="FrankRuehl"/>
          <w:rtl/>
        </w:rPr>
        <w:t>–</w:t>
      </w:r>
      <w:r>
        <w:rPr>
          <w:rStyle w:val="default"/>
          <w:rFonts w:cs="FrankRuehl" w:hint="cs"/>
          <w:rtl/>
        </w:rPr>
        <w:t xml:space="preserve"> תכריע דעת היושב-ראש.</w:t>
      </w:r>
    </w:p>
    <w:p w:rsidR="0009153D" w:rsidRDefault="0009153D">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5.65pt;z-index:251650560" o:allowincell="f" filled="f" stroked="f" strokecolor="lime" strokeweight=".25pt">
            <v:textbox inset="0,0,0,0">
              <w:txbxContent>
                <w:p w:rsidR="0009153D" w:rsidRDefault="0009153D">
                  <w:pPr>
                    <w:spacing w:line="160" w:lineRule="exact"/>
                    <w:jc w:val="left"/>
                    <w:rPr>
                      <w:rFonts w:cs="Miriam"/>
                      <w:noProof/>
                      <w:szCs w:val="18"/>
                      <w:rtl/>
                    </w:rPr>
                  </w:pPr>
                  <w:r>
                    <w:rPr>
                      <w:rFonts w:cs="Miriam"/>
                      <w:szCs w:val="18"/>
                      <w:rtl/>
                    </w:rPr>
                    <w:t>פ</w:t>
                  </w:r>
                  <w:r>
                    <w:rPr>
                      <w:rFonts w:cs="Miriam" w:hint="cs"/>
                      <w:szCs w:val="18"/>
                      <w:rtl/>
                    </w:rPr>
                    <w:t>רסום ברשומות</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ודעה על מינוי ועדת פטור וועדת ערר, מענה ואזורה תפורסם ברשומות.</w:t>
      </w:r>
    </w:p>
    <w:p w:rsidR="0009153D" w:rsidRDefault="0009153D">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2.55pt;z-index:251651584" o:allowincell="f" filled="f" stroked="f" strokecolor="lime" strokeweight=".25pt">
            <v:textbox inset="0,0,0,0">
              <w:txbxContent>
                <w:p w:rsidR="0009153D" w:rsidRDefault="0009153D">
                  <w:pPr>
                    <w:spacing w:line="160" w:lineRule="exact"/>
                    <w:jc w:val="left"/>
                    <w:rPr>
                      <w:rFonts w:cs="Miriam"/>
                      <w:noProof/>
                      <w:szCs w:val="18"/>
                      <w:rtl/>
                    </w:rPr>
                  </w:pPr>
                  <w:r>
                    <w:rPr>
                      <w:rFonts w:cs="Miriam"/>
                      <w:szCs w:val="18"/>
                      <w:rtl/>
                    </w:rPr>
                    <w:t>ב</w:t>
                  </w:r>
                  <w:r>
                    <w:rPr>
                      <w:rFonts w:cs="Miriam" w:hint="cs"/>
                      <w:szCs w:val="18"/>
                      <w:rtl/>
                    </w:rPr>
                    <w:t>קשה לפטור</w:t>
                  </w:r>
                </w:p>
              </w:txbxContent>
            </v:textbox>
            <w10:anchorlock/>
          </v:rect>
        </w:pict>
      </w:r>
      <w:r>
        <w:rPr>
          <w:rStyle w:val="big-number"/>
          <w:rtl/>
        </w:rPr>
        <w:t>4.</w:t>
      </w:r>
      <w:r>
        <w:rPr>
          <w:rStyle w:val="big-number"/>
          <w:rtl/>
        </w:rPr>
        <w:tab/>
      </w:r>
      <w:r>
        <w:rPr>
          <w:rStyle w:val="default"/>
          <w:rFonts w:cs="FrankRuehl"/>
          <w:rtl/>
        </w:rPr>
        <w:t>ה</w:t>
      </w:r>
      <w:r>
        <w:rPr>
          <w:rStyle w:val="default"/>
          <w:rFonts w:cs="FrankRuehl" w:hint="cs"/>
          <w:rtl/>
        </w:rPr>
        <w:t xml:space="preserve">מבקשת להוכיח כי טעמים שבמצפון או טעמים </w:t>
      </w:r>
      <w:r>
        <w:rPr>
          <w:rStyle w:val="default"/>
          <w:rFonts w:cs="FrankRuehl"/>
          <w:rtl/>
        </w:rPr>
        <w:t>ש</w:t>
      </w:r>
      <w:r>
        <w:rPr>
          <w:rStyle w:val="default"/>
          <w:rFonts w:cs="FrankRuehl" w:hint="cs"/>
          <w:rtl/>
        </w:rPr>
        <w:t xml:space="preserve">בהווי משפחתי דתי מונעים אותה מלשרת בשירות בטחון (להלן </w:t>
      </w:r>
      <w:r w:rsidR="00712AFB">
        <w:rPr>
          <w:rStyle w:val="default"/>
          <w:rFonts w:cs="FrankRuehl"/>
          <w:rtl/>
        </w:rPr>
        <w:t>–</w:t>
      </w:r>
      <w:r>
        <w:rPr>
          <w:rStyle w:val="default"/>
          <w:rFonts w:cs="FrankRuehl" w:hint="cs"/>
          <w:rtl/>
        </w:rPr>
        <w:t xml:space="preserve"> המבקשת) תגיש בקשה בכתב לועדת הפטור שמקום מגוריה הקבוע של המבקשת הוא באזורה, או למי שהסמיכה אותה ועדת פטור לקבלת בקשות; לבקשה יצורף תצהיר של המבקשת בהתאם לפקודת הראיות [נוסח חדש], תשל"א-1971, לפי הטו</w:t>
      </w:r>
      <w:r>
        <w:rPr>
          <w:rStyle w:val="default"/>
          <w:rFonts w:cs="FrankRuehl"/>
          <w:rtl/>
        </w:rPr>
        <w:t>פס</w:t>
      </w:r>
      <w:r>
        <w:rPr>
          <w:rStyle w:val="default"/>
          <w:rFonts w:cs="FrankRuehl" w:hint="cs"/>
          <w:rtl/>
        </w:rPr>
        <w:t xml:space="preserve"> שבתוספת; הבקשה תפרט שמותיהם של שני עדים לפחות, שיש בידם לתמוך בהצהרת המבקשת, כולה או מקצתה, בציון מעניהם של העדים ומשלחי ידם (להלן </w:t>
      </w:r>
      <w:r w:rsidR="00712AFB">
        <w:rPr>
          <w:rStyle w:val="default"/>
          <w:rFonts w:cs="FrankRuehl"/>
          <w:rtl/>
        </w:rPr>
        <w:t>–</w:t>
      </w:r>
      <w:r>
        <w:rPr>
          <w:rStyle w:val="default"/>
          <w:rFonts w:cs="FrankRuehl" w:hint="cs"/>
          <w:rtl/>
        </w:rPr>
        <w:t xml:space="preserve"> הבקשה).</w:t>
      </w:r>
    </w:p>
    <w:p w:rsidR="0009153D" w:rsidRDefault="0009153D">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6pt;z-index:251652608" o:allowincell="f" filled="f" stroked="f" strokecolor="lime" strokeweight=".25pt">
            <v:textbox inset="0,0,0,0">
              <w:txbxContent>
                <w:p w:rsidR="0009153D" w:rsidRDefault="0009153D">
                  <w:pPr>
                    <w:spacing w:line="160" w:lineRule="exact"/>
                    <w:jc w:val="left"/>
                    <w:rPr>
                      <w:rFonts w:cs="Miriam"/>
                      <w:noProof/>
                      <w:szCs w:val="18"/>
                      <w:rtl/>
                    </w:rPr>
                  </w:pPr>
                  <w:r>
                    <w:rPr>
                      <w:rFonts w:cs="Miriam"/>
                      <w:szCs w:val="18"/>
                      <w:rtl/>
                    </w:rPr>
                    <w:t>מ</w:t>
                  </w:r>
                  <w:r>
                    <w:rPr>
                      <w:rFonts w:cs="Miriam" w:hint="cs"/>
                      <w:szCs w:val="18"/>
                      <w:rtl/>
                    </w:rPr>
                    <w:t>וע</w:t>
                  </w:r>
                  <w:r>
                    <w:rPr>
                      <w:rFonts w:cs="Miriam"/>
                      <w:szCs w:val="18"/>
                      <w:rtl/>
                    </w:rPr>
                    <w:t>ד</w:t>
                  </w:r>
                  <w:r>
                    <w:rPr>
                      <w:rFonts w:cs="Miriam" w:hint="cs"/>
                      <w:szCs w:val="18"/>
                      <w:rtl/>
                    </w:rPr>
                    <w:t xml:space="preserve"> הגשת </w:t>
                  </w:r>
                  <w:r>
                    <w:rPr>
                      <w:rFonts w:cs="Miriam"/>
                      <w:szCs w:val="18"/>
                      <w:rtl/>
                    </w:rPr>
                    <w:t>ה</w:t>
                  </w:r>
                  <w:r>
                    <w:rPr>
                      <w:rFonts w:cs="Miriam" w:hint="cs"/>
                      <w:szCs w:val="18"/>
                      <w:rtl/>
                    </w:rPr>
                    <w:t>בקשה</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הבקשה תוגש לא יאוחר מהיום שנקבע </w:t>
      </w:r>
      <w:r w:rsidR="00712AFB">
        <w:rPr>
          <w:rStyle w:val="default"/>
          <w:rFonts w:cs="FrankRuehl" w:hint="cs"/>
          <w:rtl/>
        </w:rPr>
        <w:t>לה</w:t>
      </w:r>
      <w:r>
        <w:rPr>
          <w:rStyle w:val="default"/>
          <w:rFonts w:cs="FrankRuehl" w:hint="cs"/>
          <w:rtl/>
        </w:rPr>
        <w:t>תייצבות ראשונה של המבקשת כיוצא צבא בהתאם לסעיפים 3, 3א</w:t>
      </w:r>
      <w:r>
        <w:rPr>
          <w:rStyle w:val="default"/>
          <w:rFonts w:cs="FrankRuehl"/>
          <w:rtl/>
        </w:rPr>
        <w:t xml:space="preserve">, 4, 7, 8 </w:t>
      </w:r>
      <w:r>
        <w:rPr>
          <w:rStyle w:val="default"/>
          <w:rFonts w:cs="FrankRuehl" w:hint="cs"/>
          <w:rtl/>
        </w:rPr>
        <w:t>או 9 לחוק.</w:t>
      </w:r>
    </w:p>
    <w:p w:rsidR="0009153D" w:rsidRDefault="0009153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הבקשה יכול שתוגש בטרם היות האשה יוצאת צבא, אולם תידון בועדת הפטור משהיתה ליוצאת צבא.</w:t>
      </w:r>
    </w:p>
    <w:p w:rsidR="0009153D" w:rsidRDefault="0009153D">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פוקד רשאי לקבל את הבקשה במועד מאוחר מהמועד האמור בתקנת משנה (א), אם ראה לעשות כן מטעמים מיוחדים;</w:t>
      </w:r>
    </w:p>
    <w:p w:rsidR="0009153D" w:rsidRDefault="0009153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החליט פו</w:t>
      </w:r>
      <w:r>
        <w:rPr>
          <w:rStyle w:val="default"/>
          <w:rFonts w:cs="FrankRuehl"/>
          <w:rtl/>
        </w:rPr>
        <w:t>ק</w:t>
      </w:r>
      <w:r>
        <w:rPr>
          <w:rStyle w:val="default"/>
          <w:rFonts w:cs="FrankRuehl" w:hint="cs"/>
          <w:rtl/>
        </w:rPr>
        <w:t>ד לקבל את הבקשה כאמור, יעבירנה לועדת הפטור.</w:t>
      </w:r>
    </w:p>
    <w:p w:rsidR="0009153D" w:rsidRDefault="0009153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הוגשה בקשה לפטור, לא תיקרא המבקשת לבדיקות האמורות בסעיפים 3א ו-7א לחוק, אלא אם נדחתה הבקשה בכל ההליכים לפי תקנות אלה.</w:t>
      </w:r>
    </w:p>
    <w:p w:rsidR="0009153D" w:rsidRDefault="0009153D">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13.3pt;z-index:251653632" o:allowincell="f" filled="f" stroked="f" strokecolor="lime" strokeweight=".25pt">
            <v:textbox inset="0,0,0,0">
              <w:txbxContent>
                <w:p w:rsidR="0009153D" w:rsidRDefault="0009153D">
                  <w:pPr>
                    <w:spacing w:line="160" w:lineRule="exact"/>
                    <w:jc w:val="left"/>
                    <w:rPr>
                      <w:rFonts w:cs="Miriam"/>
                      <w:noProof/>
                      <w:szCs w:val="18"/>
                      <w:rtl/>
                    </w:rPr>
                  </w:pPr>
                  <w:r>
                    <w:rPr>
                      <w:rFonts w:cs="Miriam"/>
                      <w:szCs w:val="18"/>
                      <w:rtl/>
                    </w:rPr>
                    <w:t>רא</w:t>
                  </w:r>
                  <w:r>
                    <w:rPr>
                      <w:rFonts w:cs="Miriam" w:hint="cs"/>
                      <w:szCs w:val="18"/>
                      <w:rtl/>
                    </w:rPr>
                    <w:t>יות העדים</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מצאה ועדת הפטור, לאחר עיון בבקשה, כי אין להסתפק בתצהיר, תבקש הועדה</w:t>
      </w:r>
      <w:r>
        <w:rPr>
          <w:rStyle w:val="default"/>
          <w:rFonts w:cs="FrankRuehl"/>
          <w:rtl/>
        </w:rPr>
        <w:t xml:space="preserve"> </w:t>
      </w:r>
      <w:r>
        <w:rPr>
          <w:rStyle w:val="default"/>
          <w:rFonts w:cs="FrankRuehl" w:hint="cs"/>
          <w:rtl/>
        </w:rPr>
        <w:t>תחילה ראיות ביחס לאמור בתצהיר המבקשת מכל אחד מן העדים ששמותיהם פורטו בבקשה, באחת הדרכים האלה:</w:t>
      </w:r>
    </w:p>
    <w:p w:rsidR="0009153D" w:rsidRDefault="0009153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קבלת תצהיר מאת העד בהתאם לפקודת הראיות [נוסח חדש], תשל"א-1971;</w:t>
      </w:r>
    </w:p>
    <w:p w:rsidR="0009153D" w:rsidRDefault="0009153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הזמנת העד להעיד בפני ועדת הפטור.</w:t>
      </w:r>
    </w:p>
    <w:p w:rsidR="0009153D" w:rsidRDefault="0009153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ההודעה על הגשת התצהיר או הזמנתו להעיד לפני ועדת הפטו</w:t>
      </w:r>
      <w:r>
        <w:rPr>
          <w:rStyle w:val="default"/>
          <w:rFonts w:cs="FrankRuehl"/>
          <w:rtl/>
        </w:rPr>
        <w:t>ר</w:t>
      </w:r>
      <w:r>
        <w:rPr>
          <w:rStyle w:val="default"/>
          <w:rFonts w:cs="FrankRuehl" w:hint="cs"/>
          <w:rtl/>
        </w:rPr>
        <w:t>, תיחתם בידי יושב ראש ועדת הפטור או אחד מחבריה.</w:t>
      </w:r>
    </w:p>
    <w:p w:rsidR="0009153D" w:rsidRDefault="0009153D">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16.6pt;z-index:251654656" o:allowincell="f" filled="f" stroked="f" strokecolor="lime" strokeweight=".25pt">
            <v:textbox inset="0,0,0,0">
              <w:txbxContent>
                <w:p w:rsidR="0009153D" w:rsidRDefault="0009153D">
                  <w:pPr>
                    <w:spacing w:line="160" w:lineRule="exact"/>
                    <w:jc w:val="left"/>
                    <w:rPr>
                      <w:rFonts w:cs="Miriam"/>
                      <w:noProof/>
                      <w:szCs w:val="18"/>
                      <w:rtl/>
                    </w:rPr>
                  </w:pPr>
                  <w:r>
                    <w:rPr>
                      <w:rFonts w:cs="Miriam"/>
                      <w:szCs w:val="18"/>
                      <w:rtl/>
                    </w:rPr>
                    <w:t>ט</w:t>
                  </w:r>
                  <w:r>
                    <w:rPr>
                      <w:rFonts w:cs="Miriam" w:hint="cs"/>
                      <w:szCs w:val="18"/>
                      <w:rtl/>
                    </w:rPr>
                    <w:t>ענות המבקשת</w:t>
                  </w:r>
                </w:p>
              </w:txbxContent>
            </v:textbox>
            <w10:anchorlock/>
          </v:rect>
        </w:pict>
      </w:r>
      <w:r>
        <w:rPr>
          <w:rStyle w:val="big-number"/>
          <w:rtl/>
        </w:rPr>
        <w:t>7.</w:t>
      </w:r>
      <w:r>
        <w:rPr>
          <w:rStyle w:val="big-number"/>
          <w:rtl/>
        </w:rPr>
        <w:tab/>
      </w:r>
      <w:r>
        <w:rPr>
          <w:rStyle w:val="default"/>
          <w:rFonts w:cs="FrankRuehl"/>
          <w:rtl/>
        </w:rPr>
        <w:t>ק</w:t>
      </w:r>
      <w:r>
        <w:rPr>
          <w:rStyle w:val="default"/>
          <w:rFonts w:cs="FrankRuehl" w:hint="cs"/>
          <w:rtl/>
        </w:rPr>
        <w:t>בעה ועדת הפטור, לאחר שנהגה לפי תקנה 6, כי לא הוכח לה שטעמים שבמצפון או טעמים שבהווי משפחתי דתי מונעים את המבקשת מלשרת בשירות בטחון, תשלח לה הודעה בכתב כי ניתנת לה אפשרות לעיין בפרוטוקול ה</w:t>
      </w:r>
      <w:r>
        <w:rPr>
          <w:rStyle w:val="default"/>
          <w:rFonts w:cs="FrankRuehl"/>
          <w:rtl/>
        </w:rPr>
        <w:t>ד</w:t>
      </w:r>
      <w:r>
        <w:rPr>
          <w:rStyle w:val="default"/>
          <w:rFonts w:cs="FrankRuehl" w:hint="cs"/>
          <w:rtl/>
        </w:rPr>
        <w:t>יון ולבוא ולהשמיע את טענותיה לפני הועדה, אם תרצה בכך.</w:t>
      </w:r>
    </w:p>
    <w:p w:rsidR="0009153D" w:rsidRDefault="0009153D">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11.2pt;z-index:251655680" o:allowincell="f" filled="f" stroked="f" strokecolor="lime" strokeweight=".25pt">
            <v:textbox inset="0,0,0,0">
              <w:txbxContent>
                <w:p w:rsidR="0009153D" w:rsidRDefault="0009153D">
                  <w:pPr>
                    <w:spacing w:line="160" w:lineRule="exact"/>
                    <w:jc w:val="left"/>
                    <w:rPr>
                      <w:rFonts w:cs="Miriam"/>
                      <w:noProof/>
                      <w:szCs w:val="18"/>
                      <w:rtl/>
                    </w:rPr>
                  </w:pPr>
                  <w:r>
                    <w:rPr>
                      <w:rFonts w:cs="Miriam"/>
                      <w:szCs w:val="18"/>
                      <w:rtl/>
                    </w:rPr>
                    <w:t>ר</w:t>
                  </w:r>
                  <w:r>
                    <w:rPr>
                      <w:rFonts w:cs="Miriam" w:hint="cs"/>
                      <w:szCs w:val="18"/>
                      <w:rtl/>
                    </w:rPr>
                    <w:t>איות אח</w:t>
                  </w:r>
                  <w:r>
                    <w:rPr>
                      <w:rFonts w:cs="Miriam"/>
                      <w:szCs w:val="18"/>
                      <w:rtl/>
                    </w:rPr>
                    <w:t>ר</w:t>
                  </w:r>
                  <w:r>
                    <w:rPr>
                      <w:rFonts w:cs="Miriam" w:hint="cs"/>
                      <w:szCs w:val="18"/>
                      <w:rtl/>
                    </w:rPr>
                    <w:t>ות</w:t>
                  </w:r>
                </w:p>
              </w:txbxContent>
            </v:textbox>
            <w10:anchorlock/>
          </v:rect>
        </w:pict>
      </w:r>
      <w:r>
        <w:rPr>
          <w:rStyle w:val="big-number"/>
          <w:rtl/>
        </w:rPr>
        <w:t>8.</w:t>
      </w:r>
      <w:r>
        <w:rPr>
          <w:rStyle w:val="big-number"/>
          <w:rtl/>
        </w:rPr>
        <w:tab/>
      </w:r>
      <w:r>
        <w:rPr>
          <w:rStyle w:val="default"/>
          <w:rFonts w:cs="FrankRuehl"/>
          <w:rtl/>
        </w:rPr>
        <w:t>ו</w:t>
      </w:r>
      <w:r>
        <w:rPr>
          <w:rStyle w:val="default"/>
          <w:rFonts w:cs="FrankRuehl" w:hint="cs"/>
          <w:rtl/>
        </w:rPr>
        <w:t xml:space="preserve">עדת הפטור רשאית לקבל כל ראיה שיכולה, לדעתה, לאשר או לסתור ראיה שהובאה </w:t>
      </w:r>
      <w:r>
        <w:rPr>
          <w:rStyle w:val="default"/>
          <w:rFonts w:cs="FrankRuehl" w:hint="cs"/>
          <w:rtl/>
        </w:rPr>
        <w:lastRenderedPageBreak/>
        <w:t>לפניה מטעם המבקשת.</w:t>
      </w:r>
    </w:p>
    <w:p w:rsidR="0009153D" w:rsidRDefault="0009153D">
      <w:pPr>
        <w:pStyle w:val="P00"/>
        <w:spacing w:before="72"/>
        <w:ind w:left="0" w:right="1134"/>
        <w:rPr>
          <w:rStyle w:val="default"/>
          <w:rFonts w:cs="FrankRuehl"/>
          <w:rtl/>
        </w:rPr>
      </w:pPr>
      <w:bookmarkStart w:id="8" w:name="Seif8"/>
      <w:bookmarkEnd w:id="8"/>
      <w:r>
        <w:rPr>
          <w:lang w:val="he-IL"/>
        </w:rPr>
        <w:pict>
          <v:rect id="_x0000_s1034" style="position:absolute;left:0;text-align:left;margin-left:464.5pt;margin-top:8.05pt;width:75.05pt;height:23.3pt;z-index:251656704" o:allowincell="f" filled="f" stroked="f" strokecolor="lime" strokeweight=".25pt">
            <v:textbox inset="0,0,0,0">
              <w:txbxContent>
                <w:p w:rsidR="0009153D" w:rsidRDefault="0009153D">
                  <w:pPr>
                    <w:spacing w:line="160" w:lineRule="exact"/>
                    <w:jc w:val="left"/>
                    <w:rPr>
                      <w:rFonts w:cs="Miriam"/>
                      <w:noProof/>
                      <w:szCs w:val="18"/>
                      <w:rtl/>
                    </w:rPr>
                  </w:pPr>
                  <w:r>
                    <w:rPr>
                      <w:rFonts w:cs="Miriam"/>
                      <w:szCs w:val="18"/>
                      <w:rtl/>
                    </w:rPr>
                    <w:t>ר</w:t>
                  </w:r>
                  <w:r>
                    <w:rPr>
                      <w:rFonts w:cs="Miriam" w:hint="cs"/>
                      <w:szCs w:val="18"/>
                      <w:rtl/>
                    </w:rPr>
                    <w:t xml:space="preserve">ישום </w:t>
                  </w:r>
                  <w:r>
                    <w:rPr>
                      <w:rFonts w:cs="Miriam"/>
                      <w:szCs w:val="18"/>
                      <w:rtl/>
                    </w:rPr>
                    <w:t>פ</w:t>
                  </w:r>
                  <w:r>
                    <w:rPr>
                      <w:rFonts w:cs="Miriam" w:hint="cs"/>
                      <w:szCs w:val="18"/>
                      <w:rtl/>
                    </w:rPr>
                    <w:t xml:space="preserve">רוטוקול </w:t>
                  </w:r>
                  <w:r>
                    <w:rPr>
                      <w:rFonts w:cs="Miriam"/>
                      <w:szCs w:val="18"/>
                      <w:rtl/>
                    </w:rPr>
                    <w:t>ב</w:t>
                  </w:r>
                  <w:r>
                    <w:rPr>
                      <w:rFonts w:cs="Miriam" w:hint="cs"/>
                      <w:szCs w:val="18"/>
                      <w:rtl/>
                    </w:rPr>
                    <w:t>ועדת הפטור</w:t>
                  </w:r>
                </w:p>
              </w:txbxContent>
            </v:textbox>
            <w10:anchorlock/>
          </v:rect>
        </w:pict>
      </w:r>
      <w:r>
        <w:rPr>
          <w:rStyle w:val="big-number"/>
          <w:rtl/>
        </w:rPr>
        <w:t>9.</w:t>
      </w:r>
      <w:r>
        <w:rPr>
          <w:rStyle w:val="big-number"/>
          <w:rtl/>
        </w:rPr>
        <w:tab/>
      </w:r>
      <w:r>
        <w:rPr>
          <w:rStyle w:val="default"/>
          <w:rFonts w:cs="FrankRuehl"/>
          <w:rtl/>
        </w:rPr>
        <w:t>י</w:t>
      </w:r>
      <w:r>
        <w:rPr>
          <w:rStyle w:val="default"/>
          <w:rFonts w:cs="FrankRuehl" w:hint="cs"/>
          <w:rtl/>
        </w:rPr>
        <w:t>ושב ראש ועדת הפטור או חבר מחבריה שהיושב ראש מינהו לכך, ירשו</w:t>
      </w:r>
      <w:r>
        <w:rPr>
          <w:rStyle w:val="default"/>
          <w:rFonts w:cs="FrankRuehl"/>
          <w:rtl/>
        </w:rPr>
        <w:t>ם</w:t>
      </w:r>
      <w:r>
        <w:rPr>
          <w:rStyle w:val="default"/>
          <w:rFonts w:cs="FrankRuehl" w:hint="cs"/>
          <w:rtl/>
        </w:rPr>
        <w:t xml:space="preserve"> פרוטוקול שישקף את דברי העדים ואת דברי המבקשת לפני הועדה; הפרוטוקול ייחתם בידי כל חברי הועדה שנכחו בדיון.</w:t>
      </w:r>
    </w:p>
    <w:p w:rsidR="0009153D" w:rsidRDefault="0009153D">
      <w:pPr>
        <w:pStyle w:val="P00"/>
        <w:spacing w:before="72"/>
        <w:ind w:left="0" w:right="1134"/>
        <w:rPr>
          <w:rStyle w:val="default"/>
          <w:rFonts w:cs="FrankRuehl"/>
          <w:rtl/>
        </w:rPr>
      </w:pPr>
      <w:bookmarkStart w:id="9" w:name="Seif9"/>
      <w:bookmarkEnd w:id="9"/>
      <w:r>
        <w:rPr>
          <w:lang w:val="he-IL"/>
        </w:rPr>
        <w:pict>
          <v:rect id="_x0000_s1035" style="position:absolute;left:0;text-align:left;margin-left:464.5pt;margin-top:8.05pt;width:75.05pt;height:22.15pt;z-index:251657728" o:allowincell="f" filled="f" stroked="f" strokecolor="lime" strokeweight=".25pt">
            <v:textbox inset="0,0,0,0">
              <w:txbxContent>
                <w:p w:rsidR="0009153D" w:rsidRDefault="0009153D">
                  <w:pPr>
                    <w:spacing w:line="160" w:lineRule="exact"/>
                    <w:jc w:val="left"/>
                    <w:rPr>
                      <w:rFonts w:cs="Miriam"/>
                      <w:noProof/>
                      <w:szCs w:val="18"/>
                      <w:rtl/>
                    </w:rPr>
                  </w:pPr>
                  <w:r>
                    <w:rPr>
                      <w:rFonts w:cs="Miriam"/>
                      <w:szCs w:val="18"/>
                      <w:rtl/>
                    </w:rPr>
                    <w:t>ה</w:t>
                  </w:r>
                  <w:r>
                    <w:rPr>
                      <w:rFonts w:cs="Miriam" w:hint="cs"/>
                      <w:szCs w:val="18"/>
                      <w:rtl/>
                    </w:rPr>
                    <w:t>וכח</w:t>
                  </w:r>
                  <w:r>
                    <w:rPr>
                      <w:rFonts w:cs="Miriam"/>
                      <w:szCs w:val="18"/>
                      <w:rtl/>
                    </w:rPr>
                    <w:t>ת</w:t>
                  </w:r>
                  <w:r>
                    <w:rPr>
                      <w:rFonts w:cs="Miriam" w:hint="cs"/>
                      <w:szCs w:val="18"/>
                      <w:rtl/>
                    </w:rPr>
                    <w:t xml:space="preserve"> הטעמים </w:t>
                  </w:r>
                  <w:r>
                    <w:rPr>
                      <w:rFonts w:cs="Miriam"/>
                      <w:szCs w:val="18"/>
                      <w:rtl/>
                    </w:rPr>
                    <w:t>ל</w:t>
                  </w:r>
                  <w:r>
                    <w:rPr>
                      <w:rFonts w:cs="Miriam" w:hint="cs"/>
                      <w:szCs w:val="18"/>
                      <w:rtl/>
                    </w:rPr>
                    <w:t>ועדת הפטור</w:t>
                  </w:r>
                </w:p>
              </w:txbxContent>
            </v:textbox>
            <w10:anchorlock/>
          </v:rect>
        </w:pict>
      </w:r>
      <w:r>
        <w:rPr>
          <w:rStyle w:val="big-number"/>
          <w:rtl/>
        </w:rPr>
        <w:t>10.</w:t>
      </w:r>
      <w:r>
        <w:rPr>
          <w:rStyle w:val="big-number"/>
          <w:rtl/>
        </w:rPr>
        <w:tab/>
      </w:r>
      <w:r>
        <w:rPr>
          <w:rStyle w:val="default"/>
          <w:rFonts w:cs="FrankRuehl"/>
          <w:rtl/>
        </w:rPr>
        <w:t>ק</w:t>
      </w:r>
      <w:r>
        <w:rPr>
          <w:rStyle w:val="default"/>
          <w:rFonts w:cs="FrankRuehl" w:hint="cs"/>
          <w:rtl/>
        </w:rPr>
        <w:t>בעה ועדת הפטור כי המבקשת הוכיחה שטעמים שבמצפון או טעמים שבהווי משפחתי דתי מונעים את המבקשת מלשרת בשירות בטחון, תינתן</w:t>
      </w:r>
      <w:r>
        <w:rPr>
          <w:rStyle w:val="default"/>
          <w:rFonts w:cs="FrankRuehl"/>
          <w:rtl/>
        </w:rPr>
        <w:t xml:space="preserve"> </w:t>
      </w:r>
      <w:r>
        <w:rPr>
          <w:rStyle w:val="default"/>
          <w:rFonts w:cs="FrankRuehl" w:hint="cs"/>
          <w:rtl/>
        </w:rPr>
        <w:t>תעודה חתומה בידי יושב ראש ועדת הפטור המעידה כי המבקשת זכאית לפטור.</w:t>
      </w:r>
    </w:p>
    <w:p w:rsidR="0009153D" w:rsidRDefault="0009153D">
      <w:pPr>
        <w:pStyle w:val="P00"/>
        <w:spacing w:before="72"/>
        <w:ind w:left="0" w:right="1134"/>
        <w:rPr>
          <w:rStyle w:val="default"/>
          <w:rFonts w:cs="FrankRuehl"/>
          <w:rtl/>
        </w:rPr>
      </w:pPr>
      <w:bookmarkStart w:id="10" w:name="Seif10"/>
      <w:bookmarkEnd w:id="10"/>
      <w:r>
        <w:rPr>
          <w:lang w:val="he-IL"/>
        </w:rPr>
        <w:pict>
          <v:rect id="_x0000_s1036" style="position:absolute;left:0;text-align:left;margin-left:464.5pt;margin-top:8.05pt;width:75.05pt;height:24pt;z-index:251658752" o:allowincell="f" filled="f" stroked="f" strokecolor="lime" strokeweight=".25pt">
            <v:textbox inset="0,0,0,0">
              <w:txbxContent>
                <w:p w:rsidR="0009153D" w:rsidRDefault="0009153D">
                  <w:pPr>
                    <w:spacing w:line="160" w:lineRule="exact"/>
                    <w:jc w:val="left"/>
                    <w:rPr>
                      <w:rFonts w:cs="Miriam"/>
                      <w:noProof/>
                      <w:szCs w:val="18"/>
                      <w:rtl/>
                    </w:rPr>
                  </w:pPr>
                  <w:r>
                    <w:rPr>
                      <w:rFonts w:cs="Miriam"/>
                      <w:szCs w:val="18"/>
                      <w:rtl/>
                    </w:rPr>
                    <w:t>א</w:t>
                  </w:r>
                  <w:r>
                    <w:rPr>
                      <w:rFonts w:cs="Miriam" w:hint="cs"/>
                      <w:szCs w:val="18"/>
                      <w:rtl/>
                    </w:rPr>
                    <w:t>י הו</w:t>
                  </w:r>
                  <w:r>
                    <w:rPr>
                      <w:rFonts w:cs="Miriam"/>
                      <w:szCs w:val="18"/>
                      <w:rtl/>
                    </w:rPr>
                    <w:t>כ</w:t>
                  </w:r>
                  <w:r>
                    <w:rPr>
                      <w:rFonts w:cs="Miriam" w:hint="cs"/>
                      <w:szCs w:val="18"/>
                      <w:rtl/>
                    </w:rPr>
                    <w:t xml:space="preserve">חת </w:t>
                  </w:r>
                  <w:r>
                    <w:rPr>
                      <w:rFonts w:cs="Miriam"/>
                      <w:szCs w:val="18"/>
                      <w:rtl/>
                    </w:rPr>
                    <w:t>ה</w:t>
                  </w:r>
                  <w:r>
                    <w:rPr>
                      <w:rFonts w:cs="Miriam" w:hint="cs"/>
                      <w:szCs w:val="18"/>
                      <w:rtl/>
                    </w:rPr>
                    <w:t xml:space="preserve">טעמים </w:t>
                  </w:r>
                  <w:r>
                    <w:rPr>
                      <w:rFonts w:cs="Miriam"/>
                      <w:szCs w:val="18"/>
                      <w:rtl/>
                    </w:rPr>
                    <w:t>ל</w:t>
                  </w:r>
                  <w:r>
                    <w:rPr>
                      <w:rFonts w:cs="Miriam" w:hint="cs"/>
                      <w:szCs w:val="18"/>
                      <w:rtl/>
                    </w:rPr>
                    <w:t>ועדת הפטור</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החליטה ועדת הפטור כי המבקשת לא הוכיחה כי טעמים שבמצפון או טעמים שבהווי משפחתי דתי מונעים את המבקשת מלשרת בשירות בטחון, תנמק הועדה בכתב את ההחלטה.</w:t>
      </w:r>
    </w:p>
    <w:p w:rsidR="0009153D" w:rsidRDefault="0009153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יושב ראש ועדת הפטור יודיע בכתב את ההחלטה וההנמקה למבקשת ולפוקד, וכן יודיע למבקשת על זכותה לעיין בפרוטוקול הדיון בועדה, להעתיקו ולהגיש ערר כאמור בתקנה 12.</w:t>
      </w:r>
    </w:p>
    <w:p w:rsidR="0009153D" w:rsidRDefault="0009153D">
      <w:pPr>
        <w:pStyle w:val="P00"/>
        <w:spacing w:before="72"/>
        <w:ind w:left="0" w:right="1134"/>
        <w:rPr>
          <w:rStyle w:val="default"/>
          <w:rFonts w:cs="FrankRuehl"/>
          <w:rtl/>
        </w:rPr>
      </w:pPr>
      <w:bookmarkStart w:id="11" w:name="Seif11"/>
      <w:bookmarkEnd w:id="11"/>
      <w:r>
        <w:rPr>
          <w:lang w:val="he-IL"/>
        </w:rPr>
        <w:pict>
          <v:rect id="_x0000_s1037" style="position:absolute;left:0;text-align:left;margin-left:464.5pt;margin-top:8.05pt;width:75.05pt;height:8pt;z-index:251659776" o:allowincell="f" filled="f" stroked="f" strokecolor="lime" strokeweight=".25pt">
            <v:textbox inset="0,0,0,0">
              <w:txbxContent>
                <w:p w:rsidR="0009153D" w:rsidRDefault="0009153D">
                  <w:pPr>
                    <w:spacing w:line="160" w:lineRule="exact"/>
                    <w:jc w:val="left"/>
                    <w:rPr>
                      <w:rFonts w:cs="Miriam"/>
                      <w:noProof/>
                      <w:szCs w:val="18"/>
                      <w:rtl/>
                    </w:rPr>
                  </w:pPr>
                  <w:r>
                    <w:rPr>
                      <w:rFonts w:cs="Miriam"/>
                      <w:szCs w:val="18"/>
                      <w:rtl/>
                    </w:rPr>
                    <w:t>ע</w:t>
                  </w:r>
                  <w:r>
                    <w:rPr>
                      <w:rFonts w:cs="Miriam" w:hint="cs"/>
                      <w:szCs w:val="18"/>
                      <w:rtl/>
                    </w:rPr>
                    <w:t>רר</w:t>
                  </w:r>
                </w:p>
              </w:txbxContent>
            </v:textbox>
            <w10:anchorlock/>
          </v:rect>
        </w:pict>
      </w:r>
      <w:r>
        <w:rPr>
          <w:rStyle w:val="big-number"/>
          <w:rtl/>
        </w:rPr>
        <w:t>12.</w:t>
      </w:r>
      <w:r>
        <w:rPr>
          <w:rStyle w:val="big-number"/>
          <w:rtl/>
        </w:rPr>
        <w:tab/>
      </w:r>
      <w:r>
        <w:rPr>
          <w:rStyle w:val="default"/>
          <w:rFonts w:cs="FrankRuehl"/>
          <w:rtl/>
        </w:rPr>
        <w:t>מ</w:t>
      </w:r>
      <w:r>
        <w:rPr>
          <w:rStyle w:val="default"/>
          <w:rFonts w:cs="FrankRuehl" w:hint="cs"/>
          <w:rtl/>
        </w:rPr>
        <w:t xml:space="preserve">בקשת הרואה עצמה נפגעת על ידי החלטתה של ועדת הפטור רשאית, תוך 30 יום מהיום שההחלטה הגיעה לידיה, לערור עליה בפני ועדת ערר (להלן </w:t>
      </w:r>
      <w:r w:rsidR="00712AFB">
        <w:rPr>
          <w:rStyle w:val="default"/>
          <w:rFonts w:cs="FrankRuehl"/>
          <w:rtl/>
        </w:rPr>
        <w:t>–</w:t>
      </w:r>
      <w:r>
        <w:rPr>
          <w:rStyle w:val="default"/>
          <w:rFonts w:cs="FrankRuehl" w:hint="cs"/>
          <w:rtl/>
        </w:rPr>
        <w:t xml:space="preserve"> העוררת).</w:t>
      </w:r>
    </w:p>
    <w:p w:rsidR="0009153D" w:rsidRDefault="0009153D">
      <w:pPr>
        <w:pStyle w:val="P00"/>
        <w:spacing w:before="72"/>
        <w:ind w:left="0" w:right="1134"/>
        <w:rPr>
          <w:rStyle w:val="default"/>
          <w:rFonts w:cs="FrankRuehl"/>
          <w:rtl/>
        </w:rPr>
      </w:pPr>
      <w:bookmarkStart w:id="12" w:name="Seif12"/>
      <w:bookmarkEnd w:id="12"/>
      <w:r>
        <w:rPr>
          <w:lang w:val="he-IL"/>
        </w:rPr>
        <w:pict>
          <v:rect id="_x0000_s1038" style="position:absolute;left:0;text-align:left;margin-left:464.5pt;margin-top:8.05pt;width:75.05pt;height:15.2pt;z-index:251660800" o:allowincell="f" filled="f" stroked="f" strokecolor="lime" strokeweight=".25pt">
            <v:textbox inset="0,0,0,0">
              <w:txbxContent>
                <w:p w:rsidR="0009153D" w:rsidRDefault="0009153D">
                  <w:pPr>
                    <w:spacing w:line="160" w:lineRule="exact"/>
                    <w:jc w:val="left"/>
                    <w:rPr>
                      <w:rFonts w:cs="Miriam"/>
                      <w:noProof/>
                      <w:szCs w:val="18"/>
                      <w:rtl/>
                    </w:rPr>
                  </w:pPr>
                  <w:r>
                    <w:rPr>
                      <w:rFonts w:cs="Miriam"/>
                      <w:szCs w:val="18"/>
                      <w:rtl/>
                    </w:rPr>
                    <w:t>ה</w:t>
                  </w:r>
                  <w:r>
                    <w:rPr>
                      <w:rFonts w:cs="Miriam" w:hint="cs"/>
                      <w:szCs w:val="18"/>
                      <w:rtl/>
                    </w:rPr>
                    <w:t>גשת הערר</w:t>
                  </w:r>
                </w:p>
              </w:txbxContent>
            </v:textbox>
            <w10:anchorlock/>
          </v:rect>
        </w:pict>
      </w:r>
      <w:r>
        <w:rPr>
          <w:rStyle w:val="big-number"/>
          <w:rtl/>
        </w:rPr>
        <w:t>13.</w:t>
      </w:r>
      <w:r>
        <w:rPr>
          <w:rStyle w:val="big-number"/>
          <w:rtl/>
        </w:rPr>
        <w:tab/>
      </w:r>
      <w:r>
        <w:rPr>
          <w:rStyle w:val="default"/>
          <w:rFonts w:cs="FrankRuehl"/>
          <w:rtl/>
        </w:rPr>
        <w:t>ה</w:t>
      </w:r>
      <w:r>
        <w:rPr>
          <w:rStyle w:val="default"/>
          <w:rFonts w:cs="FrankRuehl" w:hint="cs"/>
          <w:rtl/>
        </w:rPr>
        <w:t>ערר יוגש בכתב לועדת הערר שמקום מגוריה של העוררת הוא באזורה, או למי שהסמיכה אותה ועדה לקבלת ע</w:t>
      </w:r>
      <w:r>
        <w:rPr>
          <w:rStyle w:val="default"/>
          <w:rFonts w:cs="FrankRuehl"/>
          <w:rtl/>
        </w:rPr>
        <w:t>ר</w:t>
      </w:r>
      <w:r>
        <w:rPr>
          <w:rStyle w:val="default"/>
          <w:rFonts w:cs="FrankRuehl" w:hint="cs"/>
          <w:rtl/>
        </w:rPr>
        <w:t>ר.</w:t>
      </w:r>
    </w:p>
    <w:p w:rsidR="0009153D" w:rsidRDefault="0009153D">
      <w:pPr>
        <w:pStyle w:val="P00"/>
        <w:spacing w:before="72"/>
        <w:ind w:left="0" w:right="1134"/>
        <w:rPr>
          <w:rStyle w:val="default"/>
          <w:rFonts w:cs="FrankRuehl"/>
          <w:rtl/>
        </w:rPr>
      </w:pPr>
      <w:bookmarkStart w:id="13" w:name="Seif13"/>
      <w:bookmarkEnd w:id="13"/>
      <w:r>
        <w:rPr>
          <w:lang w:val="he-IL"/>
        </w:rPr>
        <w:pict>
          <v:rect id="_x0000_s1039" style="position:absolute;left:0;text-align:left;margin-left:464.5pt;margin-top:8.05pt;width:75.05pt;height:24pt;z-index:251661824" o:allowincell="f" filled="f" stroked="f" strokecolor="lime" strokeweight=".25pt">
            <v:textbox inset="0,0,0,0">
              <w:txbxContent>
                <w:p w:rsidR="0009153D" w:rsidRDefault="0009153D">
                  <w:pPr>
                    <w:spacing w:line="160" w:lineRule="exact"/>
                    <w:jc w:val="left"/>
                    <w:rPr>
                      <w:rFonts w:cs="Miriam"/>
                      <w:noProof/>
                      <w:szCs w:val="18"/>
                      <w:rtl/>
                    </w:rPr>
                  </w:pPr>
                  <w:r>
                    <w:rPr>
                      <w:rFonts w:cs="Miriam"/>
                      <w:szCs w:val="18"/>
                      <w:rtl/>
                    </w:rPr>
                    <w:t>א</w:t>
                  </w:r>
                  <w:r>
                    <w:rPr>
                      <w:rFonts w:cs="Miriam" w:hint="cs"/>
                      <w:szCs w:val="18"/>
                      <w:rtl/>
                    </w:rPr>
                    <w:t xml:space="preserve">י תחולת </w:t>
                  </w:r>
                  <w:r>
                    <w:rPr>
                      <w:rFonts w:cs="Miriam"/>
                      <w:szCs w:val="18"/>
                      <w:rtl/>
                    </w:rPr>
                    <w:t>ס</w:t>
                  </w:r>
                  <w:r>
                    <w:rPr>
                      <w:rFonts w:cs="Miriam" w:hint="cs"/>
                      <w:szCs w:val="18"/>
                      <w:rtl/>
                    </w:rPr>
                    <w:t xml:space="preserve">דרי הדין </w:t>
                  </w:r>
                  <w:r>
                    <w:rPr>
                      <w:rFonts w:cs="Miriam"/>
                      <w:szCs w:val="18"/>
                      <w:rtl/>
                    </w:rPr>
                    <w:t>ו</w:t>
                  </w:r>
                  <w:r>
                    <w:rPr>
                      <w:rFonts w:cs="Miriam" w:hint="cs"/>
                      <w:szCs w:val="18"/>
                      <w:rtl/>
                    </w:rPr>
                    <w:t>דיני ראיה</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ועדת ערר לא תהיה קשורה בסדרי דין ובדיני ראיה אלא תפעל בדרך שתיראה לה מועילה ביותר לבירור השאלות העומדות להחלטתה, לרבות הזמנת העוררת והעדים שהעידו בפני ועדת הפטור או הגישו תצהירים.</w:t>
      </w:r>
    </w:p>
    <w:p w:rsidR="0009153D" w:rsidRDefault="0009153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תקנה 9 בדבר רישום ה</w:t>
      </w:r>
      <w:r>
        <w:rPr>
          <w:rStyle w:val="default"/>
          <w:rFonts w:cs="FrankRuehl"/>
          <w:rtl/>
        </w:rPr>
        <w:t>פ</w:t>
      </w:r>
      <w:r>
        <w:rPr>
          <w:rStyle w:val="default"/>
          <w:rFonts w:cs="FrankRuehl" w:hint="cs"/>
          <w:rtl/>
        </w:rPr>
        <w:t>רוטוקול של ועדת פטור, יחולו על ועדת ערר.</w:t>
      </w:r>
    </w:p>
    <w:p w:rsidR="0009153D" w:rsidRDefault="0009153D">
      <w:pPr>
        <w:pStyle w:val="P00"/>
        <w:spacing w:before="72"/>
        <w:ind w:left="0" w:right="1134"/>
        <w:rPr>
          <w:rStyle w:val="default"/>
          <w:rFonts w:cs="FrankRuehl"/>
          <w:rtl/>
        </w:rPr>
      </w:pPr>
      <w:bookmarkStart w:id="14" w:name="Seif14"/>
      <w:bookmarkEnd w:id="14"/>
      <w:r>
        <w:rPr>
          <w:lang w:val="he-IL"/>
        </w:rPr>
        <w:pict>
          <v:rect id="_x0000_s1040" style="position:absolute;left:0;text-align:left;margin-left:464.5pt;margin-top:8.05pt;width:75.05pt;height:20.55pt;z-index:251662848" o:allowincell="f" filled="f" stroked="f" strokecolor="lime" strokeweight=".25pt">
            <v:textbox inset="0,0,0,0">
              <w:txbxContent>
                <w:p w:rsidR="0009153D" w:rsidRDefault="0009153D">
                  <w:pPr>
                    <w:spacing w:line="160" w:lineRule="exact"/>
                    <w:jc w:val="left"/>
                    <w:rPr>
                      <w:rFonts w:cs="Miriam"/>
                      <w:noProof/>
                      <w:szCs w:val="18"/>
                      <w:rtl/>
                    </w:rPr>
                  </w:pPr>
                  <w:r>
                    <w:rPr>
                      <w:rFonts w:cs="Miriam"/>
                      <w:szCs w:val="18"/>
                      <w:rtl/>
                    </w:rPr>
                    <w:t>ה</w:t>
                  </w:r>
                  <w:r>
                    <w:rPr>
                      <w:rFonts w:cs="Miriam" w:hint="cs"/>
                      <w:szCs w:val="18"/>
                      <w:rtl/>
                    </w:rPr>
                    <w:t xml:space="preserve">וכחת הטעמים </w:t>
                  </w:r>
                  <w:r>
                    <w:rPr>
                      <w:rFonts w:cs="Miriam"/>
                      <w:szCs w:val="18"/>
                      <w:rtl/>
                    </w:rPr>
                    <w:t>ב</w:t>
                  </w:r>
                  <w:r>
                    <w:rPr>
                      <w:rFonts w:cs="Miriam" w:hint="cs"/>
                      <w:szCs w:val="18"/>
                      <w:rtl/>
                    </w:rPr>
                    <w:t>ועדת הערר</w:t>
                  </w:r>
                </w:p>
              </w:txbxContent>
            </v:textbox>
            <w10:anchorlock/>
          </v:rect>
        </w:pict>
      </w:r>
      <w:r>
        <w:rPr>
          <w:rStyle w:val="big-number"/>
          <w:rtl/>
        </w:rPr>
        <w:t>15.</w:t>
      </w:r>
      <w:r>
        <w:rPr>
          <w:rStyle w:val="big-number"/>
          <w:rtl/>
        </w:rPr>
        <w:tab/>
      </w:r>
      <w:r>
        <w:rPr>
          <w:rStyle w:val="default"/>
          <w:rFonts w:cs="FrankRuehl"/>
          <w:rtl/>
        </w:rPr>
        <w:t>ק</w:t>
      </w:r>
      <w:r>
        <w:rPr>
          <w:rStyle w:val="default"/>
          <w:rFonts w:cs="FrankRuehl" w:hint="cs"/>
          <w:rtl/>
        </w:rPr>
        <w:t xml:space="preserve">בעה ועדת הערר כי העוררת הוכיחה שטעמים שבמצפון או טעמים שבהווי משפחתי דתי מונעים את העוררת מלשרת בשירות בטחון, תינתן לעוררת תעודה חתומה בידי יושב ראש ועדת הערר המעידה כי העוררת זכאית </w:t>
      </w:r>
      <w:r>
        <w:rPr>
          <w:rStyle w:val="default"/>
          <w:rFonts w:cs="FrankRuehl"/>
          <w:rtl/>
        </w:rPr>
        <w:t>ל</w:t>
      </w:r>
      <w:r>
        <w:rPr>
          <w:rStyle w:val="default"/>
          <w:rFonts w:cs="FrankRuehl" w:hint="cs"/>
          <w:rtl/>
        </w:rPr>
        <w:t>פטור.</w:t>
      </w:r>
    </w:p>
    <w:p w:rsidR="0009153D" w:rsidRDefault="0009153D">
      <w:pPr>
        <w:pStyle w:val="P00"/>
        <w:spacing w:before="72"/>
        <w:ind w:left="0" w:right="1134"/>
        <w:rPr>
          <w:rStyle w:val="default"/>
          <w:rFonts w:cs="FrankRuehl"/>
          <w:rtl/>
        </w:rPr>
      </w:pPr>
      <w:bookmarkStart w:id="15" w:name="Seif15"/>
      <w:bookmarkEnd w:id="15"/>
      <w:r>
        <w:rPr>
          <w:lang w:val="he-IL"/>
        </w:rPr>
        <w:pict>
          <v:rect id="_x0000_s1041" style="position:absolute;left:0;text-align:left;margin-left:464.5pt;margin-top:8.05pt;width:75.05pt;height:24pt;z-index:251663872" o:allowincell="f" filled="f" stroked="f" strokecolor="lime" strokeweight=".25pt">
            <v:textbox inset="0,0,0,0">
              <w:txbxContent>
                <w:p w:rsidR="0009153D" w:rsidRDefault="0009153D">
                  <w:pPr>
                    <w:spacing w:line="160" w:lineRule="exact"/>
                    <w:jc w:val="left"/>
                    <w:rPr>
                      <w:rFonts w:cs="Miriam"/>
                      <w:noProof/>
                      <w:szCs w:val="18"/>
                      <w:rtl/>
                    </w:rPr>
                  </w:pPr>
                  <w:r>
                    <w:rPr>
                      <w:rFonts w:cs="Miriam"/>
                      <w:szCs w:val="18"/>
                      <w:rtl/>
                    </w:rPr>
                    <w:t>א</w:t>
                  </w:r>
                  <w:r>
                    <w:rPr>
                      <w:rFonts w:cs="Miriam" w:hint="cs"/>
                      <w:szCs w:val="18"/>
                      <w:rtl/>
                    </w:rPr>
                    <w:t xml:space="preserve">י הוכחת </w:t>
                  </w:r>
                  <w:r>
                    <w:rPr>
                      <w:rFonts w:cs="Miriam"/>
                      <w:szCs w:val="18"/>
                      <w:rtl/>
                    </w:rPr>
                    <w:t>ה</w:t>
                  </w:r>
                  <w:r>
                    <w:rPr>
                      <w:rFonts w:cs="Miriam" w:hint="cs"/>
                      <w:szCs w:val="18"/>
                      <w:rtl/>
                    </w:rPr>
                    <w:t xml:space="preserve">טעמים </w:t>
                  </w:r>
                  <w:r>
                    <w:rPr>
                      <w:rFonts w:cs="Miriam"/>
                      <w:szCs w:val="18"/>
                      <w:rtl/>
                    </w:rPr>
                    <w:t>ב</w:t>
                  </w:r>
                  <w:r>
                    <w:rPr>
                      <w:rFonts w:cs="Miriam" w:hint="cs"/>
                      <w:szCs w:val="18"/>
                      <w:rtl/>
                    </w:rPr>
                    <w:t>ועדת הערר</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קבעה ועדת הערר כי העוררת לא הוכיחה שטעמים שבמצפון או טעמים שבהווי משפחתי דתי מונעים את העוררת מלשרת בשירות בטחון, תנמק הועדה בכתב את החלטתה.</w:t>
      </w:r>
    </w:p>
    <w:p w:rsidR="0009153D" w:rsidRDefault="0009153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יושב ראש ועדת הערר יודיע בכתב את ההחלטה וההנמקה לעוררת ולפוקד.</w:t>
      </w:r>
    </w:p>
    <w:p w:rsidR="0009153D" w:rsidRDefault="0009153D">
      <w:pPr>
        <w:pStyle w:val="P00"/>
        <w:spacing w:before="72"/>
        <w:ind w:left="0" w:right="1134"/>
        <w:rPr>
          <w:rStyle w:val="default"/>
          <w:rFonts w:cs="FrankRuehl"/>
          <w:rtl/>
        </w:rPr>
      </w:pPr>
      <w:bookmarkStart w:id="16" w:name="Seif16"/>
      <w:bookmarkEnd w:id="16"/>
      <w:r>
        <w:rPr>
          <w:lang w:val="he-IL"/>
        </w:rPr>
        <w:pict>
          <v:rect id="_x0000_s1042" style="position:absolute;left:0;text-align:left;margin-left:464.5pt;margin-top:8.05pt;width:75.05pt;height:14.7pt;z-index:251664896" o:allowincell="f" filled="f" stroked="f" strokecolor="lime" strokeweight=".25pt">
            <v:textbox inset="0,0,0,0">
              <w:txbxContent>
                <w:p w:rsidR="0009153D" w:rsidRDefault="0009153D">
                  <w:pPr>
                    <w:spacing w:line="160" w:lineRule="exact"/>
                    <w:jc w:val="left"/>
                    <w:rPr>
                      <w:rFonts w:cs="Miriam"/>
                      <w:noProof/>
                      <w:szCs w:val="18"/>
                      <w:rtl/>
                    </w:rPr>
                  </w:pPr>
                  <w:r>
                    <w:rPr>
                      <w:rFonts w:cs="Miriam"/>
                      <w:szCs w:val="18"/>
                      <w:rtl/>
                    </w:rPr>
                    <w:t>ה</w:t>
                  </w:r>
                  <w:r>
                    <w:rPr>
                      <w:rFonts w:cs="Miriam" w:hint="cs"/>
                      <w:szCs w:val="18"/>
                      <w:rtl/>
                    </w:rPr>
                    <w:t>ו</w:t>
                  </w:r>
                  <w:r>
                    <w:rPr>
                      <w:rFonts w:cs="Miriam"/>
                      <w:szCs w:val="18"/>
                      <w:rtl/>
                    </w:rPr>
                    <w:t>ר</w:t>
                  </w:r>
                  <w:r>
                    <w:rPr>
                      <w:rFonts w:cs="Miriam" w:hint="cs"/>
                      <w:szCs w:val="18"/>
                      <w:rtl/>
                    </w:rPr>
                    <w:t>את מעבר</w:t>
                  </w:r>
                </w:p>
              </w:txbxContent>
            </v:textbox>
            <w10:anchorlock/>
          </v:rect>
        </w:pict>
      </w:r>
      <w:r>
        <w:rPr>
          <w:rStyle w:val="big-number"/>
          <w:rtl/>
        </w:rPr>
        <w:t>17.</w:t>
      </w:r>
      <w:r>
        <w:rPr>
          <w:rStyle w:val="big-number"/>
          <w:rtl/>
        </w:rPr>
        <w:tab/>
      </w:r>
      <w:r>
        <w:rPr>
          <w:rStyle w:val="default"/>
          <w:rFonts w:cs="FrankRuehl"/>
          <w:rtl/>
        </w:rPr>
        <w:t>ה</w:t>
      </w:r>
      <w:r>
        <w:rPr>
          <w:rStyle w:val="default"/>
          <w:rFonts w:cs="FrankRuehl" w:hint="cs"/>
          <w:rtl/>
        </w:rPr>
        <w:t>וגשה בקשה לפטור מחובת שירות בטחון לפני יום תחילתו של חוק שירות בטחון (תיקון מס' 13), תשל"ח-1978, רשאית המבקשת להגיש בקשה לפטור לפי סעיף 30(ג) לחוק תוך התקופות שנקבעו בתקנות אלה או תוך 60 יום מיום שהמבקשת קיבלה מפוקד הודעה על זכותה להגיש בק</w:t>
      </w:r>
      <w:r>
        <w:rPr>
          <w:rStyle w:val="default"/>
          <w:rFonts w:cs="FrankRuehl"/>
          <w:rtl/>
        </w:rPr>
        <w:t>ש</w:t>
      </w:r>
      <w:r>
        <w:rPr>
          <w:rStyle w:val="default"/>
          <w:rFonts w:cs="FrankRuehl" w:hint="cs"/>
          <w:rtl/>
        </w:rPr>
        <w:t>ה לפטור כאמור, הכל לפי המועד המאוחר יותר.</w:t>
      </w:r>
    </w:p>
    <w:p w:rsidR="0009153D" w:rsidRDefault="0009153D">
      <w:pPr>
        <w:pStyle w:val="P00"/>
        <w:spacing w:before="72"/>
        <w:ind w:left="0" w:right="1134"/>
        <w:rPr>
          <w:rStyle w:val="default"/>
          <w:rFonts w:cs="FrankRuehl"/>
          <w:rtl/>
        </w:rPr>
      </w:pPr>
      <w:bookmarkStart w:id="17" w:name="Seif17"/>
      <w:bookmarkEnd w:id="17"/>
      <w:r>
        <w:rPr>
          <w:lang w:val="he-IL"/>
        </w:rPr>
        <w:pict>
          <v:rect id="_x0000_s1043" style="position:absolute;left:0;text-align:left;margin-left:464.5pt;margin-top:8.05pt;width:75.05pt;height:8pt;z-index:251665920" o:allowincell="f" filled="f" stroked="f" strokecolor="lime" strokeweight=".25pt">
            <v:textbox inset="0,0,0,0">
              <w:txbxContent>
                <w:p w:rsidR="0009153D" w:rsidRDefault="0009153D">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18.</w:t>
      </w:r>
      <w:r>
        <w:rPr>
          <w:rStyle w:val="big-number"/>
          <w:rtl/>
        </w:rPr>
        <w:tab/>
      </w:r>
      <w:r>
        <w:rPr>
          <w:rStyle w:val="default"/>
          <w:rFonts w:cs="FrankRuehl"/>
          <w:rtl/>
        </w:rPr>
        <w:t>ת</w:t>
      </w:r>
      <w:r>
        <w:rPr>
          <w:rStyle w:val="default"/>
          <w:rFonts w:cs="FrankRuehl" w:hint="cs"/>
          <w:rtl/>
        </w:rPr>
        <w:t xml:space="preserve">קנות שירות בטחון (פטור), תשי"ב-1952 </w:t>
      </w:r>
      <w:r w:rsidR="00712AFB">
        <w:rPr>
          <w:rStyle w:val="default"/>
          <w:rFonts w:cs="FrankRuehl"/>
          <w:rtl/>
        </w:rPr>
        <w:t>–</w:t>
      </w:r>
      <w:r>
        <w:rPr>
          <w:rStyle w:val="default"/>
          <w:rFonts w:cs="FrankRuehl" w:hint="cs"/>
          <w:rtl/>
        </w:rPr>
        <w:t xml:space="preserve"> בטלות.</w:t>
      </w:r>
    </w:p>
    <w:p w:rsidR="0009153D" w:rsidRDefault="0009153D">
      <w:pPr>
        <w:pStyle w:val="P00"/>
        <w:spacing w:before="72"/>
        <w:ind w:left="0" w:right="1134"/>
        <w:rPr>
          <w:rStyle w:val="default"/>
          <w:rFonts w:cs="FrankRuehl"/>
          <w:rtl/>
        </w:rPr>
      </w:pPr>
      <w:bookmarkStart w:id="18" w:name="Seif18"/>
      <w:bookmarkEnd w:id="18"/>
      <w:r>
        <w:rPr>
          <w:lang w:val="he-IL"/>
        </w:rPr>
        <w:pict>
          <v:rect id="_x0000_s1044" style="position:absolute;left:0;text-align:left;margin-left:464.5pt;margin-top:8.05pt;width:75.05pt;height:8pt;z-index:251666944" o:allowincell="f" filled="f" stroked="f" strokecolor="lime" strokeweight=".25pt">
            <v:textbox inset="0,0,0,0">
              <w:txbxContent>
                <w:p w:rsidR="0009153D" w:rsidRDefault="0009153D">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19.</w:t>
      </w:r>
      <w:r>
        <w:rPr>
          <w:rStyle w:val="big-number"/>
          <w:rtl/>
        </w:rPr>
        <w:tab/>
      </w:r>
      <w:r>
        <w:rPr>
          <w:rStyle w:val="default"/>
          <w:rFonts w:cs="FrankRuehl"/>
          <w:rtl/>
        </w:rPr>
        <w:t>ל</w:t>
      </w:r>
      <w:r>
        <w:rPr>
          <w:rStyle w:val="default"/>
          <w:rFonts w:cs="FrankRuehl" w:hint="cs"/>
          <w:rtl/>
        </w:rPr>
        <w:t>תקנות אלה ייקרא "תקנות שירות בטחון (פטור נשים משירות בטחון מטעמים שבמצפון או שבהווי משפחתי דתי), תשל"ח-1978".</w:t>
      </w:r>
    </w:p>
    <w:p w:rsidR="0009153D" w:rsidRDefault="0009153D">
      <w:pPr>
        <w:pStyle w:val="P00"/>
        <w:spacing w:before="72"/>
        <w:ind w:left="0" w:right="1134"/>
        <w:rPr>
          <w:rStyle w:val="default"/>
          <w:rFonts w:cs="FrankRuehl"/>
          <w:rtl/>
        </w:rPr>
      </w:pPr>
    </w:p>
    <w:p w:rsidR="0009153D" w:rsidRPr="00712AFB" w:rsidRDefault="0009153D">
      <w:pPr>
        <w:pStyle w:val="medium2-header"/>
        <w:keepLines w:val="0"/>
        <w:spacing w:before="72"/>
        <w:ind w:left="0" w:right="1134"/>
        <w:rPr>
          <w:noProof/>
          <w:rtl/>
        </w:rPr>
      </w:pPr>
      <w:bookmarkStart w:id="19" w:name="med0"/>
      <w:bookmarkEnd w:id="19"/>
      <w:r w:rsidRPr="00712AFB">
        <w:rPr>
          <w:noProof/>
          <w:rtl/>
        </w:rPr>
        <w:t>ת</w:t>
      </w:r>
      <w:r w:rsidRPr="00712AFB">
        <w:rPr>
          <w:rFonts w:hint="cs"/>
          <w:noProof/>
          <w:rtl/>
        </w:rPr>
        <w:t>וספת</w:t>
      </w:r>
    </w:p>
    <w:p w:rsidR="0009153D" w:rsidRDefault="0009153D">
      <w:pPr>
        <w:pStyle w:val="medium-header"/>
        <w:keepNext w:val="0"/>
        <w:keepLines w:val="0"/>
        <w:ind w:left="0" w:right="1134"/>
        <w:rPr>
          <w:sz w:val="24"/>
          <w:szCs w:val="24"/>
          <w:rtl/>
        </w:rPr>
      </w:pPr>
      <w:r>
        <w:rPr>
          <w:sz w:val="24"/>
          <w:szCs w:val="24"/>
          <w:rtl/>
        </w:rPr>
        <w:t>(</w:t>
      </w:r>
      <w:r>
        <w:rPr>
          <w:rFonts w:hint="cs"/>
          <w:sz w:val="24"/>
          <w:szCs w:val="24"/>
          <w:rtl/>
        </w:rPr>
        <w:t>תקנה 4)</w:t>
      </w:r>
    </w:p>
    <w:p w:rsidR="0009153D" w:rsidRDefault="0009153D">
      <w:pPr>
        <w:pStyle w:val="header-2"/>
        <w:ind w:left="0" w:right="1134"/>
        <w:rPr>
          <w:rtl/>
        </w:rPr>
      </w:pPr>
      <w:r>
        <w:rPr>
          <w:rtl/>
        </w:rPr>
        <w:t>ת</w:t>
      </w:r>
      <w:r>
        <w:rPr>
          <w:rFonts w:hint="cs"/>
          <w:rtl/>
        </w:rPr>
        <w:t>צהיר</w:t>
      </w:r>
    </w:p>
    <w:p w:rsidR="0009153D" w:rsidRDefault="0009153D">
      <w:pPr>
        <w:pStyle w:val="P00"/>
        <w:spacing w:before="72"/>
        <w:ind w:left="0" w:right="1134"/>
        <w:rPr>
          <w:rtl/>
        </w:rPr>
      </w:pPr>
      <w:r>
        <w:rPr>
          <w:rtl/>
        </w:rPr>
        <w:t>א</w:t>
      </w:r>
      <w:r>
        <w:rPr>
          <w:rFonts w:hint="cs"/>
          <w:rtl/>
        </w:rPr>
        <w:t>ני החתומה מטה</w:t>
      </w:r>
    </w:p>
    <w:p w:rsidR="0009153D" w:rsidRDefault="0009153D">
      <w:pPr>
        <w:pStyle w:val="P03"/>
        <w:spacing w:before="72"/>
        <w:ind w:left="1474" w:right="1134"/>
        <w:rPr>
          <w:rStyle w:val="default"/>
          <w:rFonts w:cs="FrankRuehl"/>
          <w:rtl/>
        </w:rPr>
      </w:pPr>
      <w:r>
        <w:rPr>
          <w:rtl/>
        </w:rPr>
        <w:tab/>
      </w:r>
      <w:r>
        <w:rPr>
          <w:rtl/>
        </w:rPr>
        <w:tab/>
      </w:r>
      <w:r>
        <w:rPr>
          <w:rtl/>
        </w:rPr>
        <w:tab/>
      </w:r>
      <w:r>
        <w:rPr>
          <w:rtl/>
        </w:rPr>
        <w:tab/>
      </w:r>
      <w:r>
        <w:rPr>
          <w:rStyle w:val="default"/>
          <w:rFonts w:cs="FrankRuehl"/>
          <w:rtl/>
        </w:rPr>
        <w:t>ש</w:t>
      </w:r>
      <w:r>
        <w:rPr>
          <w:rStyle w:val="default"/>
          <w:rFonts w:cs="FrankRuehl" w:hint="cs"/>
          <w:rtl/>
        </w:rPr>
        <w:t>ם מלאת"זמען</w:t>
      </w:r>
    </w:p>
    <w:p w:rsidR="0009153D" w:rsidRDefault="0009153D">
      <w:pPr>
        <w:pStyle w:val="P03"/>
        <w:spacing w:before="72"/>
        <w:ind w:left="1474" w:right="1134"/>
        <w:rPr>
          <w:rStyle w:val="default"/>
          <w:rFonts w:cs="FrankRuehl"/>
          <w:rtl/>
        </w:rPr>
      </w:pPr>
    </w:p>
    <w:p w:rsidR="0009153D" w:rsidRDefault="0009153D">
      <w:pPr>
        <w:pStyle w:val="P00"/>
        <w:spacing w:before="72"/>
        <w:ind w:left="0" w:right="1134"/>
        <w:rPr>
          <w:rtl/>
        </w:rPr>
      </w:pPr>
      <w:r>
        <w:rPr>
          <w:rtl/>
        </w:rPr>
        <w:t>ל</w:t>
      </w:r>
      <w:r>
        <w:rPr>
          <w:rFonts w:hint="cs"/>
          <w:rtl/>
        </w:rPr>
        <w:t>אחר שהוזהרתי כי עלי להצהיר את האמת, וכי אהיה צפויה לענשים הקבועים בחוק אם לא אעשה כן, מצהירה בזה לאמור:</w:t>
      </w:r>
    </w:p>
    <w:p w:rsidR="0009153D" w:rsidRDefault="0009153D">
      <w:pPr>
        <w:pStyle w:val="P00"/>
        <w:spacing w:before="72"/>
        <w:ind w:left="0" w:right="1134"/>
        <w:rPr>
          <w:rtl/>
        </w:rPr>
      </w:pPr>
    </w:p>
    <w:p w:rsidR="0009153D" w:rsidRDefault="0009153D">
      <w:pPr>
        <w:pStyle w:val="P01"/>
        <w:spacing w:before="72"/>
        <w:ind w:left="624" w:right="1134"/>
        <w:rPr>
          <w:rStyle w:val="default"/>
          <w:rFonts w:cs="FrankRuehl"/>
          <w:rtl/>
        </w:rPr>
      </w:pPr>
      <w:r>
        <w:rPr>
          <w:rtl/>
        </w:rPr>
        <w:t>1.</w:t>
      </w:r>
      <w:r>
        <w:rPr>
          <w:rtl/>
        </w:rPr>
        <w:tab/>
      </w:r>
      <w:r>
        <w:rPr>
          <w:rStyle w:val="default"/>
          <w:rFonts w:cs="FrankRuehl"/>
          <w:rtl/>
        </w:rPr>
        <w:t>ט</w:t>
      </w:r>
      <w:r>
        <w:rPr>
          <w:rStyle w:val="default"/>
          <w:rFonts w:cs="FrankRuehl" w:hint="cs"/>
          <w:rtl/>
        </w:rPr>
        <w:t>עמים שבמצפון/טעמים שבהווי משפחתי דתי* מונעים אותי מלשרת בשירות בטחון.</w:t>
      </w:r>
    </w:p>
    <w:p w:rsidR="0009153D" w:rsidRDefault="0009153D">
      <w:pPr>
        <w:pStyle w:val="P01"/>
        <w:spacing w:before="72"/>
        <w:ind w:left="624" w:right="1134"/>
        <w:rPr>
          <w:rStyle w:val="default"/>
          <w:rFonts w:cs="FrankRuehl"/>
          <w:rtl/>
        </w:rPr>
      </w:pPr>
      <w:r>
        <w:rPr>
          <w:rtl/>
        </w:rPr>
        <w:t>2.</w:t>
      </w:r>
      <w:r>
        <w:rPr>
          <w:rtl/>
        </w:rPr>
        <w:tab/>
      </w:r>
      <w:r>
        <w:rPr>
          <w:rStyle w:val="default"/>
          <w:rFonts w:cs="FrankRuehl"/>
          <w:rtl/>
        </w:rPr>
        <w:t>א</w:t>
      </w:r>
      <w:r>
        <w:rPr>
          <w:rStyle w:val="default"/>
          <w:rFonts w:cs="FrankRuehl" w:hint="cs"/>
          <w:rtl/>
        </w:rPr>
        <w:t xml:space="preserve">ני מצהירה כי זהו שמי, </w:t>
      </w:r>
      <w:r>
        <w:rPr>
          <w:rStyle w:val="default"/>
          <w:rFonts w:cs="FrankRuehl"/>
          <w:rtl/>
        </w:rPr>
        <w:t>ז</w:t>
      </w:r>
      <w:r>
        <w:rPr>
          <w:rStyle w:val="default"/>
          <w:rFonts w:cs="FrankRuehl" w:hint="cs"/>
          <w:rtl/>
        </w:rPr>
        <w:t>הו מעני וכל האמור בתצהירי זה אמת.</w:t>
      </w:r>
    </w:p>
    <w:p w:rsidR="0009153D" w:rsidRDefault="0009153D">
      <w:pPr>
        <w:pStyle w:val="P01"/>
        <w:spacing w:before="72"/>
        <w:ind w:left="624" w:right="1134"/>
        <w:rPr>
          <w:rStyle w:val="default"/>
          <w:rFonts w:cs="FrankRuehl"/>
          <w:rtl/>
        </w:rPr>
      </w:pPr>
    </w:p>
    <w:p w:rsidR="0009153D" w:rsidRDefault="0009153D">
      <w:pPr>
        <w:pStyle w:val="sig-1"/>
        <w:widowControl/>
        <w:ind w:left="0" w:right="1134"/>
        <w:rPr>
          <w:rtl/>
        </w:rPr>
      </w:pPr>
      <w:r>
        <w:rPr>
          <w:rtl/>
        </w:rPr>
        <w:tab/>
      </w:r>
      <w:r>
        <w:rPr>
          <w:rtl/>
        </w:rPr>
        <w:tab/>
      </w:r>
      <w:r>
        <w:rPr>
          <w:rtl/>
        </w:rPr>
        <w:tab/>
      </w:r>
    </w:p>
    <w:p w:rsidR="0009153D" w:rsidRDefault="0009153D">
      <w:pPr>
        <w:pStyle w:val="sig-1"/>
        <w:widowControl/>
        <w:ind w:left="0" w:right="1134"/>
        <w:rPr>
          <w:rStyle w:val="default"/>
          <w:rFonts w:cs="FrankRuehl"/>
          <w:rtl/>
        </w:rPr>
      </w:pPr>
      <w:r>
        <w:rPr>
          <w:rtl/>
        </w:rPr>
        <w:tab/>
      </w:r>
      <w:r>
        <w:rPr>
          <w:rStyle w:val="default"/>
          <w:rFonts w:cs="FrankRuehl"/>
          <w:rtl/>
        </w:rPr>
        <w:t>ת</w:t>
      </w:r>
      <w:r>
        <w:rPr>
          <w:rStyle w:val="default"/>
          <w:rFonts w:cs="FrankRuehl" w:hint="cs"/>
          <w:rtl/>
        </w:rPr>
        <w:t>אריך</w:t>
      </w:r>
      <w:r>
        <w:rPr>
          <w:rStyle w:val="default"/>
          <w:rFonts w:cs="FrankRuehl"/>
          <w:rtl/>
        </w:rPr>
        <w:tab/>
      </w:r>
      <w:r>
        <w:rPr>
          <w:rStyle w:val="default"/>
          <w:rFonts w:cs="FrankRuehl"/>
          <w:rtl/>
        </w:rPr>
        <w:tab/>
      </w:r>
      <w:r>
        <w:rPr>
          <w:rStyle w:val="default"/>
          <w:rFonts w:cs="FrankRuehl" w:hint="cs"/>
          <w:rtl/>
        </w:rPr>
        <w:t>חתימה</w:t>
      </w:r>
    </w:p>
    <w:p w:rsidR="0009153D" w:rsidRDefault="0009153D">
      <w:pPr>
        <w:pStyle w:val="sig-1"/>
        <w:widowControl/>
        <w:ind w:left="0" w:right="1134"/>
        <w:rPr>
          <w:rStyle w:val="default"/>
          <w:rFonts w:cs="FrankRuehl"/>
          <w:rtl/>
        </w:rPr>
      </w:pPr>
    </w:p>
    <w:p w:rsidR="0009153D" w:rsidRDefault="0009153D">
      <w:pPr>
        <w:pStyle w:val="sig-0"/>
        <w:ind w:left="0" w:right="1134"/>
        <w:rPr>
          <w:rStyle w:val="default"/>
          <w:rFonts w:cs="FrankRuehl"/>
          <w:rtl/>
        </w:rPr>
      </w:pPr>
      <w:r>
        <w:rPr>
          <w:rtl/>
        </w:rPr>
        <w:t>ב</w:t>
      </w:r>
      <w:r>
        <w:rPr>
          <w:rFonts w:hint="cs"/>
          <w:rtl/>
        </w:rPr>
        <w:t xml:space="preserve">פניהופיעה ביום </w:t>
      </w:r>
      <w:r>
        <w:rPr>
          <w:rtl/>
        </w:rPr>
        <w:tab/>
      </w:r>
      <w:r>
        <w:rPr>
          <w:rStyle w:val="default"/>
          <w:rFonts w:cs="FrankRuehl"/>
          <w:rtl/>
        </w:rPr>
        <w:t>(</w:t>
      </w:r>
      <w:r>
        <w:rPr>
          <w:rStyle w:val="default"/>
          <w:rFonts w:cs="FrankRuehl" w:hint="cs"/>
          <w:rtl/>
        </w:rPr>
        <w:t>שם מלא, ת"ז, מען)</w:t>
      </w:r>
    </w:p>
    <w:p w:rsidR="0009153D" w:rsidRDefault="0009153D">
      <w:pPr>
        <w:pStyle w:val="sig-0"/>
        <w:ind w:left="0" w:right="1134"/>
        <w:rPr>
          <w:rStyle w:val="default"/>
          <w:rFonts w:cs="FrankRuehl"/>
          <w:rtl/>
        </w:rPr>
      </w:pPr>
    </w:p>
    <w:p w:rsidR="0009153D" w:rsidRDefault="0009153D">
      <w:pPr>
        <w:pStyle w:val="P00"/>
        <w:spacing w:before="72"/>
        <w:ind w:left="0" w:right="1134"/>
        <w:rPr>
          <w:rtl/>
        </w:rPr>
      </w:pPr>
      <w:r>
        <w:rPr>
          <w:rtl/>
        </w:rPr>
        <w:t>ה</w:t>
      </w:r>
      <w:r>
        <w:rPr>
          <w:rFonts w:hint="cs"/>
          <w:rtl/>
        </w:rPr>
        <w:t>מוכרת לי אישית/הזדהתה בפני*, ולאחר שהזהרתיה כי עליה לומר את האמת, וכי תהיה צפויה לענשים הקבועים בחוק אם לא תעשה כן, הצהירה את האמור לעיל וחתמה עליו בפני לאחר שהוסב</w:t>
      </w:r>
      <w:r>
        <w:rPr>
          <w:rtl/>
        </w:rPr>
        <w:t>ר</w:t>
      </w:r>
      <w:r>
        <w:rPr>
          <w:rFonts w:hint="cs"/>
          <w:rtl/>
        </w:rPr>
        <w:t xml:space="preserve"> לה תוכנו.</w:t>
      </w:r>
    </w:p>
    <w:p w:rsidR="0009153D" w:rsidRDefault="0009153D">
      <w:pPr>
        <w:pStyle w:val="P00"/>
        <w:spacing w:before="72"/>
        <w:ind w:left="0" w:right="1134"/>
        <w:rPr>
          <w:rtl/>
        </w:rPr>
      </w:pPr>
    </w:p>
    <w:p w:rsidR="0009153D" w:rsidRDefault="0009153D">
      <w:pPr>
        <w:pStyle w:val="sig-1"/>
        <w:widowControl/>
        <w:ind w:left="0" w:right="1134"/>
        <w:rPr>
          <w:rtl/>
        </w:rPr>
      </w:pPr>
      <w:r>
        <w:rPr>
          <w:rtl/>
        </w:rPr>
        <w:tab/>
      </w:r>
      <w:r>
        <w:rPr>
          <w:rtl/>
        </w:rPr>
        <w:tab/>
      </w:r>
      <w:r>
        <w:rPr>
          <w:rtl/>
        </w:rPr>
        <w:tab/>
      </w:r>
    </w:p>
    <w:p w:rsidR="0009153D" w:rsidRDefault="0009153D">
      <w:pPr>
        <w:pStyle w:val="sig-1"/>
        <w:widowControl/>
        <w:ind w:left="0" w:right="1134"/>
        <w:rPr>
          <w:rStyle w:val="default"/>
          <w:rFonts w:cs="FrankRuehl"/>
          <w:rtl/>
        </w:rPr>
      </w:pPr>
      <w:r>
        <w:rPr>
          <w:rtl/>
        </w:rPr>
        <w:tab/>
      </w:r>
      <w:r>
        <w:rPr>
          <w:rStyle w:val="default"/>
          <w:rFonts w:cs="FrankRuehl"/>
          <w:rtl/>
        </w:rPr>
        <w:t>ת</w:t>
      </w:r>
      <w:r>
        <w:rPr>
          <w:rStyle w:val="default"/>
          <w:rFonts w:cs="FrankRuehl" w:hint="cs"/>
          <w:rtl/>
        </w:rPr>
        <w:t>אריך</w:t>
      </w:r>
      <w:r>
        <w:rPr>
          <w:rStyle w:val="default"/>
          <w:rFonts w:cs="FrankRuehl"/>
          <w:rtl/>
        </w:rPr>
        <w:tab/>
      </w:r>
      <w:r>
        <w:rPr>
          <w:rStyle w:val="default"/>
          <w:rFonts w:cs="FrankRuehl"/>
          <w:rtl/>
        </w:rPr>
        <w:tab/>
      </w:r>
      <w:r>
        <w:rPr>
          <w:rStyle w:val="default"/>
          <w:rFonts w:cs="FrankRuehl" w:hint="cs"/>
          <w:rtl/>
        </w:rPr>
        <w:t>חתימה</w:t>
      </w:r>
    </w:p>
    <w:p w:rsidR="0009153D" w:rsidRDefault="0009153D">
      <w:pPr>
        <w:pStyle w:val="sig-1"/>
        <w:widowControl/>
        <w:ind w:left="0" w:right="1134"/>
        <w:rPr>
          <w:rStyle w:val="default"/>
          <w:rFonts w:cs="FrankRuehl"/>
          <w:rtl/>
        </w:rPr>
      </w:pPr>
    </w:p>
    <w:p w:rsidR="0009153D" w:rsidRDefault="0009153D">
      <w:pPr>
        <w:pStyle w:val="sig-1"/>
        <w:widowControl/>
        <w:ind w:left="0" w:right="1134"/>
        <w:rPr>
          <w:rtl/>
        </w:rPr>
      </w:pPr>
      <w:r>
        <w:rPr>
          <w:rtl/>
        </w:rPr>
        <w:tab/>
      </w:r>
      <w:r>
        <w:rPr>
          <w:rtl/>
        </w:rPr>
        <w:tab/>
      </w:r>
      <w:r>
        <w:rPr>
          <w:rtl/>
        </w:rPr>
        <w:tab/>
      </w:r>
    </w:p>
    <w:p w:rsidR="0009153D" w:rsidRDefault="0009153D">
      <w:pPr>
        <w:pStyle w:val="sig-1"/>
        <w:widowControl/>
        <w:ind w:left="0" w:right="1134"/>
        <w:rPr>
          <w:rStyle w:val="default"/>
          <w:rFonts w:cs="FrankRuehl"/>
          <w:rtl/>
        </w:rPr>
      </w:pPr>
      <w:r>
        <w:rPr>
          <w:rtl/>
        </w:rPr>
        <w:tab/>
      </w:r>
      <w:r>
        <w:rPr>
          <w:rtl/>
        </w:rPr>
        <w:tab/>
      </w:r>
      <w:r>
        <w:rPr>
          <w:rtl/>
        </w:rPr>
        <w:tab/>
      </w:r>
      <w:r>
        <w:rPr>
          <w:rStyle w:val="default"/>
          <w:rFonts w:cs="FrankRuehl"/>
          <w:rtl/>
        </w:rPr>
        <w:t>ש</w:t>
      </w:r>
      <w:r>
        <w:rPr>
          <w:rStyle w:val="default"/>
          <w:rFonts w:cs="FrankRuehl" w:hint="cs"/>
          <w:rtl/>
        </w:rPr>
        <w:t>ם משפחה ופרטי</w:t>
      </w:r>
    </w:p>
    <w:p w:rsidR="0009153D" w:rsidRDefault="0009153D">
      <w:pPr>
        <w:pStyle w:val="sig-1"/>
        <w:widowControl/>
        <w:ind w:left="0" w:right="1134"/>
        <w:rPr>
          <w:rStyle w:val="default"/>
          <w:rFonts w:cs="FrankRuehl" w:hint="cs"/>
          <w:rtl/>
        </w:rPr>
      </w:pPr>
    </w:p>
    <w:p w:rsidR="0009153D" w:rsidRDefault="0009153D">
      <w:pPr>
        <w:pStyle w:val="sig-1"/>
        <w:widowControl/>
        <w:ind w:left="0" w:right="1134"/>
        <w:rPr>
          <w:rStyle w:val="default"/>
          <w:rFonts w:cs="FrankRuehl" w:hint="cs"/>
          <w:rtl/>
        </w:rPr>
      </w:pPr>
    </w:p>
    <w:p w:rsidR="0009153D" w:rsidRDefault="0009153D" w:rsidP="00930DC5">
      <w:pPr>
        <w:pStyle w:val="sig-0"/>
        <w:tabs>
          <w:tab w:val="clear" w:pos="4820"/>
          <w:tab w:val="center" w:pos="5670"/>
        </w:tabs>
        <w:spacing w:before="72"/>
        <w:ind w:left="0" w:right="1134"/>
        <w:rPr>
          <w:rtl/>
        </w:rPr>
      </w:pPr>
      <w:r>
        <w:rPr>
          <w:rtl/>
        </w:rPr>
        <w:t>כ</w:t>
      </w:r>
      <w:r>
        <w:rPr>
          <w:rFonts w:hint="cs"/>
          <w:rtl/>
        </w:rPr>
        <w:t>"ט באב תשל"ח (1 בספטמבר 1978)</w:t>
      </w:r>
      <w:r>
        <w:rPr>
          <w:rtl/>
        </w:rPr>
        <w:tab/>
      </w:r>
      <w:r>
        <w:rPr>
          <w:rFonts w:hint="cs"/>
          <w:rtl/>
        </w:rPr>
        <w:t>עזר ויצמן</w:t>
      </w:r>
    </w:p>
    <w:p w:rsidR="0009153D" w:rsidRDefault="0009153D" w:rsidP="00930DC5">
      <w:pPr>
        <w:pStyle w:val="sig-1"/>
        <w:widowControl/>
        <w:tabs>
          <w:tab w:val="clear" w:pos="851"/>
          <w:tab w:val="clear" w:pos="2835"/>
          <w:tab w:val="clear" w:pos="4820"/>
          <w:tab w:val="center" w:pos="5670"/>
        </w:tabs>
        <w:ind w:left="0" w:right="1134"/>
        <w:rPr>
          <w:rFonts w:hint="cs"/>
          <w:rtl/>
        </w:rPr>
      </w:pPr>
      <w:r>
        <w:rPr>
          <w:rtl/>
        </w:rPr>
        <w:tab/>
      </w:r>
      <w:r>
        <w:rPr>
          <w:rFonts w:hint="cs"/>
          <w:rtl/>
        </w:rPr>
        <w:t>שר הבטחון</w:t>
      </w:r>
    </w:p>
    <w:p w:rsidR="0009153D" w:rsidRDefault="0009153D">
      <w:pPr>
        <w:pStyle w:val="P00"/>
        <w:spacing w:before="72"/>
        <w:ind w:left="0" w:right="1134"/>
        <w:rPr>
          <w:rStyle w:val="default"/>
          <w:rFonts w:cs="FrankRuehl" w:hint="cs"/>
          <w:rtl/>
        </w:rPr>
      </w:pPr>
    </w:p>
    <w:p w:rsidR="0009153D" w:rsidRDefault="0009153D">
      <w:pPr>
        <w:pStyle w:val="P00"/>
        <w:spacing w:before="72"/>
        <w:ind w:left="0" w:right="1134"/>
        <w:rPr>
          <w:rStyle w:val="default"/>
          <w:rFonts w:cs="FrankRuehl"/>
          <w:rtl/>
        </w:rPr>
      </w:pPr>
    </w:p>
    <w:p w:rsidR="0009153D" w:rsidRDefault="0009153D">
      <w:pPr>
        <w:pStyle w:val="P00"/>
        <w:spacing w:before="72"/>
        <w:ind w:left="0" w:right="1134"/>
        <w:rPr>
          <w:rStyle w:val="default"/>
          <w:rFonts w:cs="FrankRuehl"/>
          <w:rtl/>
        </w:rPr>
      </w:pPr>
      <w:bookmarkStart w:id="20" w:name="LawPartEnd"/>
    </w:p>
    <w:bookmarkEnd w:id="20"/>
    <w:p w:rsidR="0009153D" w:rsidRDefault="0009153D">
      <w:pPr>
        <w:pStyle w:val="P00"/>
        <w:spacing w:before="72"/>
        <w:ind w:left="0" w:right="1134"/>
        <w:rPr>
          <w:rStyle w:val="default"/>
          <w:rFonts w:cs="FrankRuehl"/>
          <w:rtl/>
        </w:rPr>
      </w:pPr>
    </w:p>
    <w:sectPr w:rsidR="0009153D">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5A20" w:rsidRDefault="00475A20">
      <w:r>
        <w:separator/>
      </w:r>
    </w:p>
  </w:endnote>
  <w:endnote w:type="continuationSeparator" w:id="0">
    <w:p w:rsidR="00475A20" w:rsidRDefault="00475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153D" w:rsidRDefault="0009153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9153D" w:rsidRDefault="0009153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9153D" w:rsidRDefault="0009153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C:\Yael\hakika\Revadim\P199_030.doc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153D" w:rsidRDefault="0009153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30DC5">
      <w:rPr>
        <w:rFonts w:hAnsi="FrankRuehl" w:cs="FrankRuehl"/>
        <w:noProof/>
        <w:sz w:val="24"/>
        <w:szCs w:val="24"/>
        <w:rtl/>
      </w:rPr>
      <w:t>4</w:t>
    </w:r>
    <w:r>
      <w:rPr>
        <w:rFonts w:hAnsi="FrankRuehl" w:cs="FrankRuehl"/>
        <w:sz w:val="24"/>
        <w:szCs w:val="24"/>
        <w:rtl/>
      </w:rPr>
      <w:fldChar w:fldCharType="end"/>
    </w:r>
  </w:p>
  <w:p w:rsidR="0009153D" w:rsidRDefault="0009153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9153D" w:rsidRDefault="0009153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C:\Yael\hakika\Revadim\P199_030.doc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5A20" w:rsidRDefault="00475A20">
      <w:pPr>
        <w:spacing w:before="60" w:line="240" w:lineRule="auto"/>
        <w:ind w:right="1134"/>
      </w:pPr>
      <w:r>
        <w:separator/>
      </w:r>
    </w:p>
  </w:footnote>
  <w:footnote w:type="continuationSeparator" w:id="0">
    <w:p w:rsidR="00475A20" w:rsidRDefault="00475A20">
      <w:r>
        <w:continuationSeparator/>
      </w:r>
    </w:p>
  </w:footnote>
  <w:footnote w:id="1">
    <w:p w:rsidR="0009153D" w:rsidRDefault="0009153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תשל"ח מס' 3895</w:t>
        </w:r>
      </w:hyperlink>
      <w:r>
        <w:rPr>
          <w:rFonts w:hint="cs"/>
          <w:sz w:val="20"/>
          <w:rtl/>
        </w:rPr>
        <w:t xml:space="preserve"> מיום 28.9.1978 עמ' 2173.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153D" w:rsidRDefault="0009153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בטחון (פטור נשים משירות בטחון מטעמים שבמצפון או שבהווי משפחתי דתי), תשל"ח–1978</w:t>
    </w:r>
  </w:p>
  <w:p w:rsidR="0009153D" w:rsidRDefault="0009153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9153D" w:rsidRDefault="0009153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153D" w:rsidRDefault="0009153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בטחון (פטור נשים משירות בטחון מטעמים שבמצפון או שבהווי משפחתי דתי), תשל"ח</w:t>
    </w:r>
    <w:r>
      <w:rPr>
        <w:rFonts w:hAnsi="FrankRuehl" w:cs="FrankRuehl" w:hint="cs"/>
        <w:color w:val="000000"/>
        <w:sz w:val="28"/>
        <w:szCs w:val="28"/>
        <w:rtl/>
      </w:rPr>
      <w:t>-</w:t>
    </w:r>
    <w:r>
      <w:rPr>
        <w:rFonts w:hAnsi="FrankRuehl" w:cs="FrankRuehl"/>
        <w:color w:val="000000"/>
        <w:sz w:val="28"/>
        <w:szCs w:val="28"/>
        <w:rtl/>
      </w:rPr>
      <w:t>1978</w:t>
    </w:r>
  </w:p>
  <w:p w:rsidR="0009153D" w:rsidRDefault="0009153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9153D" w:rsidRDefault="0009153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61325"/>
    <w:rsid w:val="0009153D"/>
    <w:rsid w:val="00475A20"/>
    <w:rsid w:val="00507764"/>
    <w:rsid w:val="00661325"/>
    <w:rsid w:val="006C45BA"/>
    <w:rsid w:val="00712AFB"/>
    <w:rsid w:val="00930DC5"/>
    <w:rsid w:val="00CC5D21"/>
    <w:rsid w:val="00D951AB"/>
    <w:rsid w:val="00E452E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1112855-A935-4B84-8D47-2B7C171EB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389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פרק 199</vt:lpstr>
    </vt:vector>
  </TitlesOfParts>
  <Company/>
  <LinksUpToDate>false</LinksUpToDate>
  <CharactersWithSpaces>7224</CharactersWithSpaces>
  <SharedDoc>false</SharedDoc>
  <HLinks>
    <vt:vector size="126" baseType="variant">
      <vt:variant>
        <vt:i4>5570569</vt:i4>
      </vt:variant>
      <vt:variant>
        <vt:i4>117</vt:i4>
      </vt:variant>
      <vt:variant>
        <vt:i4>0</vt:i4>
      </vt:variant>
      <vt:variant>
        <vt:i4>5</vt:i4>
      </vt:variant>
      <vt:variant>
        <vt:lpwstr/>
      </vt:variant>
      <vt:variant>
        <vt:lpwstr>med0</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7536645</vt:i4>
      </vt:variant>
      <vt:variant>
        <vt:i4>0</vt:i4>
      </vt:variant>
      <vt:variant>
        <vt:i4>0</vt:i4>
      </vt:variant>
      <vt:variant>
        <vt:i4>5</vt:i4>
      </vt:variant>
      <vt:variant>
        <vt:lpwstr>http://www.nevo.co.il/Law_word/law06/TAK-3895.pdf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199</dc:title>
  <dc:subject/>
  <dc:creator>eli</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P199</vt:lpwstr>
  </property>
  <property fmtid="{D5CDD505-2E9C-101B-9397-08002B2CF9AE}" pid="3" name="CHNAME">
    <vt:lpwstr>צבא-הגנה לישראל</vt:lpwstr>
  </property>
  <property fmtid="{D5CDD505-2E9C-101B-9397-08002B2CF9AE}" pid="4" name="LAWNAME">
    <vt:lpwstr>תקנות שירות בטחון (פטור נשים משירות בטחון מטעמים שבמצפון או שבהווי משפחתי דתי), תשל"ח-1978</vt:lpwstr>
  </property>
  <property fmtid="{D5CDD505-2E9C-101B-9397-08002B2CF9AE}" pid="5" name="LAWNUMBER">
    <vt:lpwstr>0030</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שירות בטחון</vt:lpwstr>
  </property>
  <property fmtid="{D5CDD505-2E9C-101B-9397-08002B2CF9AE}" pid="10" name="NOSE41">
    <vt:lpwstr>פטור</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שירות בטחון</vt:lpwstr>
  </property>
  <property fmtid="{D5CDD505-2E9C-101B-9397-08002B2CF9AE}" pid="48" name="MEKOR_SAIF1">
    <vt:lpwstr>30X;45X</vt:lpwstr>
  </property>
</Properties>
</file>