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FFC" w:rsidRDefault="00164FFC">
      <w:pPr>
        <w:pStyle w:val="big-header"/>
        <w:ind w:left="0" w:right="1134"/>
        <w:rPr>
          <w:rFonts w:hint="cs"/>
          <w:rtl/>
        </w:rPr>
      </w:pPr>
      <w:r>
        <w:rPr>
          <w:rtl/>
        </w:rPr>
        <w:t>תקנות שירות בטחון, תש"י</w:t>
      </w:r>
      <w:r>
        <w:rPr>
          <w:rFonts w:hint="cs"/>
          <w:rtl/>
        </w:rPr>
        <w:t>-</w:t>
      </w:r>
      <w:r>
        <w:rPr>
          <w:rtl/>
        </w:rPr>
        <w:t>1949</w:t>
      </w:r>
    </w:p>
    <w:p w:rsidR="00835E18" w:rsidRDefault="00835E18" w:rsidP="00835E18">
      <w:pPr>
        <w:spacing w:line="320" w:lineRule="auto"/>
        <w:jc w:val="left"/>
        <w:rPr>
          <w:rFonts w:cs="FrankRuehl" w:hint="cs"/>
          <w:szCs w:val="26"/>
          <w:rtl/>
        </w:rPr>
      </w:pPr>
    </w:p>
    <w:p w:rsidR="00EB5215" w:rsidRPr="00835E18" w:rsidRDefault="00EB5215" w:rsidP="00835E18">
      <w:pPr>
        <w:spacing w:line="320" w:lineRule="auto"/>
        <w:jc w:val="left"/>
        <w:rPr>
          <w:rFonts w:cs="FrankRuehl" w:hint="cs"/>
          <w:szCs w:val="26"/>
          <w:rtl/>
        </w:rPr>
      </w:pPr>
    </w:p>
    <w:p w:rsidR="00835E18" w:rsidRPr="00835E18" w:rsidRDefault="00835E18" w:rsidP="00835E18">
      <w:pPr>
        <w:spacing w:line="320" w:lineRule="auto"/>
        <w:jc w:val="left"/>
        <w:rPr>
          <w:rFonts w:cs="Miriam" w:hint="cs"/>
          <w:szCs w:val="22"/>
          <w:rtl/>
        </w:rPr>
      </w:pPr>
      <w:r w:rsidRPr="00835E18">
        <w:rPr>
          <w:rFonts w:cs="Miriam"/>
          <w:szCs w:val="22"/>
          <w:rtl/>
        </w:rPr>
        <w:t>בטחון</w:t>
      </w:r>
      <w:r w:rsidRPr="00835E18">
        <w:rPr>
          <w:rFonts w:cs="FrankRuehl"/>
          <w:szCs w:val="26"/>
          <w:rtl/>
        </w:rPr>
        <w:t xml:space="preserve"> – צה"ל – שירות בטחון</w:t>
      </w:r>
    </w:p>
    <w:p w:rsidR="00164FFC" w:rsidRDefault="00164FF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64FFC">
        <w:tblPrEx>
          <w:tblCellMar>
            <w:top w:w="0" w:type="dxa"/>
            <w:bottom w:w="0" w:type="dxa"/>
          </w:tblCellMar>
        </w:tblPrEx>
        <w:tc>
          <w:tcPr>
            <w:tcW w:w="850" w:type="dxa"/>
          </w:tcPr>
          <w:p w:rsidR="00164FFC" w:rsidRDefault="00164FF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164FFC" w:rsidRDefault="00164FFC">
            <w:pPr>
              <w:spacing w:line="240" w:lineRule="auto"/>
              <w:rPr>
                <w:sz w:val="24"/>
              </w:rPr>
            </w:pPr>
            <w:hyperlink w:anchor="Seif0" w:tooltip="אימון צבאי ראשוני" w:history="1">
              <w:r>
                <w:rPr>
                  <w:rStyle w:val="Hyperlink"/>
                </w:rPr>
                <w:t>Go</w:t>
              </w:r>
            </w:hyperlink>
          </w:p>
        </w:tc>
        <w:tc>
          <w:tcPr>
            <w:tcW w:w="5669" w:type="dxa"/>
          </w:tcPr>
          <w:p w:rsidR="00164FFC" w:rsidRDefault="00164FFC">
            <w:pPr>
              <w:spacing w:line="240" w:lineRule="auto"/>
              <w:rPr>
                <w:sz w:val="24"/>
                <w:rtl/>
              </w:rPr>
            </w:pPr>
            <w:r>
              <w:rPr>
                <w:sz w:val="24"/>
                <w:rtl/>
              </w:rPr>
              <w:t>אימון צבאי ראשוני</w:t>
            </w:r>
          </w:p>
        </w:tc>
        <w:tc>
          <w:tcPr>
            <w:tcW w:w="1247" w:type="dxa"/>
          </w:tcPr>
          <w:p w:rsidR="00164FFC" w:rsidRDefault="00164FFC">
            <w:pPr>
              <w:spacing w:line="240" w:lineRule="auto"/>
              <w:rPr>
                <w:sz w:val="24"/>
              </w:rPr>
            </w:pPr>
            <w:r>
              <w:rPr>
                <w:sz w:val="24"/>
                <w:rtl/>
              </w:rPr>
              <w:t xml:space="preserve">סעיף 10 </w:t>
            </w:r>
          </w:p>
        </w:tc>
      </w:tr>
      <w:tr w:rsidR="00164FFC">
        <w:tblPrEx>
          <w:tblCellMar>
            <w:top w:w="0" w:type="dxa"/>
            <w:bottom w:w="0" w:type="dxa"/>
          </w:tblCellMar>
        </w:tblPrEx>
        <w:tc>
          <w:tcPr>
            <w:tcW w:w="850" w:type="dxa"/>
          </w:tcPr>
          <w:p w:rsidR="00164FFC" w:rsidRDefault="00164FF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164FFC" w:rsidRDefault="00164FFC">
            <w:pPr>
              <w:spacing w:line="240" w:lineRule="auto"/>
              <w:rPr>
                <w:sz w:val="24"/>
              </w:rPr>
            </w:pPr>
            <w:hyperlink w:anchor="Seif1" w:tooltip="גרעינים התישבותיים" w:history="1">
              <w:r>
                <w:rPr>
                  <w:rStyle w:val="Hyperlink"/>
                </w:rPr>
                <w:t>Go</w:t>
              </w:r>
            </w:hyperlink>
          </w:p>
        </w:tc>
        <w:tc>
          <w:tcPr>
            <w:tcW w:w="5669" w:type="dxa"/>
          </w:tcPr>
          <w:p w:rsidR="00164FFC" w:rsidRDefault="00164FFC">
            <w:pPr>
              <w:spacing w:line="240" w:lineRule="auto"/>
              <w:rPr>
                <w:sz w:val="24"/>
                <w:rtl/>
              </w:rPr>
            </w:pPr>
            <w:r>
              <w:rPr>
                <w:sz w:val="24"/>
                <w:rtl/>
              </w:rPr>
              <w:t>גרעינים התישבותיים</w:t>
            </w:r>
          </w:p>
        </w:tc>
        <w:tc>
          <w:tcPr>
            <w:tcW w:w="1247" w:type="dxa"/>
          </w:tcPr>
          <w:p w:rsidR="00164FFC" w:rsidRDefault="00164FFC">
            <w:pPr>
              <w:spacing w:line="240" w:lineRule="auto"/>
              <w:rPr>
                <w:sz w:val="24"/>
              </w:rPr>
            </w:pPr>
            <w:r>
              <w:rPr>
                <w:sz w:val="24"/>
                <w:rtl/>
              </w:rPr>
              <w:t xml:space="preserve">סעיף 11 </w:t>
            </w:r>
          </w:p>
        </w:tc>
      </w:tr>
    </w:tbl>
    <w:p w:rsidR="00164FFC" w:rsidRDefault="00164FFC">
      <w:pPr>
        <w:pStyle w:val="big-header"/>
        <w:ind w:left="0" w:right="1134"/>
        <w:rPr>
          <w:rtl/>
        </w:rPr>
      </w:pPr>
    </w:p>
    <w:p w:rsidR="00164FFC" w:rsidRPr="00835E18" w:rsidRDefault="00164FFC" w:rsidP="00835E18">
      <w:pPr>
        <w:pStyle w:val="big-header"/>
        <w:ind w:left="0" w:right="1134"/>
        <w:rPr>
          <w:rStyle w:val="default"/>
          <w:rFonts w:cs="FrankRuehl" w:hint="cs"/>
          <w:szCs w:val="32"/>
          <w:rtl/>
        </w:rPr>
      </w:pPr>
      <w:r>
        <w:rPr>
          <w:rtl/>
        </w:rPr>
        <w:br w:type="page"/>
      </w:r>
      <w:r>
        <w:rPr>
          <w:rtl/>
        </w:rPr>
        <w:lastRenderedPageBreak/>
        <w:t>ת</w:t>
      </w:r>
      <w:r>
        <w:rPr>
          <w:rFonts w:hint="cs"/>
          <w:rtl/>
        </w:rPr>
        <w:t>קנות שירות בטחון, תש"י-1949</w:t>
      </w:r>
      <w:r>
        <w:rPr>
          <w:rStyle w:val="default"/>
          <w:rtl/>
        </w:rPr>
        <w:footnoteReference w:customMarkFollows="1" w:id="1"/>
        <w:t>*</w:t>
      </w:r>
    </w:p>
    <w:p w:rsidR="00164FFC" w:rsidRDefault="00164FFC">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4.3pt;z-index:251655168" o:allowincell="f" filled="f" stroked="f" strokecolor="lime" strokeweight=".25pt">
            <v:textbox inset="0,0,0,0">
              <w:txbxContent>
                <w:p w:rsidR="00164FFC" w:rsidRDefault="00164FFC">
                  <w:pPr>
                    <w:spacing w:line="160" w:lineRule="exact"/>
                    <w:jc w:val="left"/>
                    <w:rPr>
                      <w:rFonts w:cs="Miriam"/>
                      <w:noProof/>
                      <w:szCs w:val="18"/>
                      <w:rtl/>
                    </w:rPr>
                  </w:pPr>
                  <w:r>
                    <w:rPr>
                      <w:rFonts w:cs="Miriam"/>
                      <w:szCs w:val="18"/>
                      <w:rtl/>
                    </w:rPr>
                    <w:t>אי</w:t>
                  </w:r>
                  <w:r>
                    <w:rPr>
                      <w:rFonts w:cs="Miriam" w:hint="cs"/>
                      <w:szCs w:val="18"/>
                      <w:rtl/>
                    </w:rPr>
                    <w:t>מון צבאי ראשוני</w:t>
                  </w:r>
                </w:p>
              </w:txbxContent>
            </v:textbox>
            <w10:anchorlock/>
          </v:rect>
        </w:pict>
      </w:r>
      <w:r>
        <w:rPr>
          <w:rStyle w:val="big-number"/>
          <w:rtl/>
        </w:rPr>
        <w:t>10.</w:t>
      </w:r>
      <w:r>
        <w:rPr>
          <w:rStyle w:val="big-number"/>
          <w:rtl/>
        </w:rPr>
        <w:tab/>
      </w:r>
      <w:r>
        <w:rPr>
          <w:rStyle w:val="default"/>
          <w:rFonts w:cs="FrankRuehl"/>
          <w:rtl/>
        </w:rPr>
        <w:t>ת</w:t>
      </w:r>
      <w:r>
        <w:rPr>
          <w:rStyle w:val="default"/>
          <w:rFonts w:cs="FrankRuehl" w:hint="cs"/>
          <w:rtl/>
        </w:rPr>
        <w:t xml:space="preserve">קופת האימון הצבאי </w:t>
      </w:r>
      <w:r>
        <w:rPr>
          <w:rStyle w:val="default"/>
          <w:rFonts w:cs="FrankRuehl"/>
          <w:rtl/>
        </w:rPr>
        <w:t>ה</w:t>
      </w:r>
      <w:r>
        <w:rPr>
          <w:rStyle w:val="default"/>
          <w:rFonts w:cs="FrankRuehl" w:hint="cs"/>
          <w:rtl/>
        </w:rPr>
        <w:t>ראשוני בשירות סדיר לא תעלה על מאה וחמישה ימים.</w:t>
      </w:r>
    </w:p>
    <w:p w:rsidR="00164FFC" w:rsidRDefault="00164FFC">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6192" o:allowincell="f" filled="f" stroked="f" strokecolor="lime" strokeweight=".25pt">
            <v:textbox inset="0,0,0,0">
              <w:txbxContent>
                <w:p w:rsidR="00164FFC" w:rsidRDefault="00164FFC">
                  <w:pPr>
                    <w:spacing w:line="160" w:lineRule="exact"/>
                    <w:jc w:val="left"/>
                    <w:rPr>
                      <w:rFonts w:cs="Miriam"/>
                      <w:noProof/>
                      <w:szCs w:val="18"/>
                      <w:rtl/>
                    </w:rPr>
                  </w:pPr>
                  <w:r>
                    <w:rPr>
                      <w:rFonts w:cs="Miriam"/>
                      <w:szCs w:val="18"/>
                      <w:rtl/>
                    </w:rPr>
                    <w:t>ג</w:t>
                  </w:r>
                  <w:r>
                    <w:rPr>
                      <w:rFonts w:cs="Miriam" w:hint="cs"/>
                      <w:szCs w:val="18"/>
                      <w:rtl/>
                    </w:rPr>
                    <w:t xml:space="preserve">רעינים </w:t>
                  </w:r>
                  <w:r>
                    <w:rPr>
                      <w:rFonts w:cs="Miriam"/>
                      <w:szCs w:val="18"/>
                      <w:rtl/>
                    </w:rPr>
                    <w:t>ה</w:t>
                  </w:r>
                  <w:r>
                    <w:rPr>
                      <w:rFonts w:cs="Miriam" w:hint="cs"/>
                      <w:szCs w:val="18"/>
                      <w:rtl/>
                    </w:rPr>
                    <w:t>תישבותיים</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היה צו של פוקד הקורא להתייצבות לשירות סדיר חל על חברים לגרעין התישבותי (להלן גרעין) אחד, ינהגו לפי כללים אלה:</w:t>
      </w:r>
    </w:p>
    <w:p w:rsidR="00164FFC" w:rsidRDefault="00164FFC">
      <w:pPr>
        <w:pStyle w:val="P22"/>
        <w:spacing w:before="72"/>
        <w:ind w:left="1021" w:right="1134"/>
        <w:rPr>
          <w:rStyle w:val="default"/>
          <w:rFonts w:cs="FrankRuehl" w:hint="cs"/>
          <w:rtl/>
        </w:rPr>
      </w:pPr>
      <w:r>
        <w:rPr>
          <w:lang w:val="he-IL"/>
        </w:rPr>
        <w:pict>
          <v:rect id="_x0000_s1028" style="position:absolute;left:0;text-align:left;margin-left:464.5pt;margin-top:8.05pt;width:75.05pt;height:8pt;z-index:251657216" o:allowincell="f" filled="f" stroked="f" strokecolor="lime" strokeweight=".25pt">
            <v:textbox inset="0,0,0,0">
              <w:txbxContent>
                <w:p w:rsidR="00164FFC" w:rsidRDefault="00164FFC">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ל</w:t>
                  </w:r>
                  <w:r>
                    <w:rPr>
                      <w:rFonts w:cs="Miriam" w:hint="cs"/>
                      <w:szCs w:val="18"/>
                      <w:rtl/>
                    </w:rPr>
                    <w:t>"ב-1972</w:t>
                  </w:r>
                </w:p>
              </w:txbxContent>
            </v:textbox>
            <w10:anchorlock/>
          </v:rect>
        </w:pict>
      </w:r>
      <w:r>
        <w:rPr>
          <w:rStyle w:val="default"/>
          <w:rFonts w:cs="FrankRuehl"/>
          <w:rtl/>
        </w:rPr>
        <w:t>(1)</w:t>
      </w:r>
      <w:r>
        <w:rPr>
          <w:rStyle w:val="default"/>
          <w:rFonts w:cs="FrankRuehl"/>
          <w:rtl/>
        </w:rPr>
        <w:tab/>
      </w:r>
      <w:r>
        <w:rPr>
          <w:rStyle w:val="default"/>
          <w:rFonts w:cs="FrankRuehl" w:hint="cs"/>
          <w:rtl/>
        </w:rPr>
        <w:t>חל הצו על רוב חברי הגרעין, רשאי להתייצב לשירות</w:t>
      </w:r>
      <w:r>
        <w:rPr>
          <w:rStyle w:val="default"/>
          <w:rFonts w:cs="FrankRuehl"/>
          <w:rtl/>
        </w:rPr>
        <w:t xml:space="preserve"> </w:t>
      </w:r>
      <w:r>
        <w:rPr>
          <w:rStyle w:val="default"/>
          <w:rFonts w:cs="FrankRuehl" w:hint="cs"/>
          <w:rtl/>
        </w:rPr>
        <w:t>סדיר גם חבר גרעין שהצו אינו חל עליו, אם הוא נמצא כשר לשירות, ובלבד שחבר גרעין שלא הגיע עדיין לגיל 18 לא יתייצב לשירות אלא אם נתקיימו בו הוראות סעיף 10 לחוק.</w:t>
      </w:r>
    </w:p>
    <w:p w:rsidR="00164FFC" w:rsidRPr="003C11DB" w:rsidRDefault="00164FFC">
      <w:pPr>
        <w:pStyle w:val="P00"/>
        <w:spacing w:before="0"/>
        <w:ind w:left="1021" w:right="1134"/>
        <w:rPr>
          <w:rFonts w:hint="cs"/>
          <w:b/>
          <w:bCs/>
          <w:vanish/>
          <w:szCs w:val="20"/>
          <w:shd w:val="clear" w:color="auto" w:fill="FFFF99"/>
          <w:rtl/>
        </w:rPr>
      </w:pPr>
      <w:bookmarkStart w:id="2" w:name="Rov6"/>
      <w:r w:rsidRPr="003C11DB">
        <w:rPr>
          <w:rFonts w:hint="cs"/>
          <w:vanish/>
          <w:color w:val="FF0000"/>
          <w:szCs w:val="20"/>
          <w:shd w:val="clear" w:color="auto" w:fill="FFFF99"/>
          <w:rtl/>
        </w:rPr>
        <w:t>מיום 3.2.1972</w:t>
      </w:r>
    </w:p>
    <w:p w:rsidR="00164FFC" w:rsidRPr="003C11DB" w:rsidRDefault="00164FFC">
      <w:pPr>
        <w:pStyle w:val="P00"/>
        <w:spacing w:before="0"/>
        <w:ind w:left="1021" w:right="1134"/>
        <w:rPr>
          <w:rFonts w:hint="cs"/>
          <w:b/>
          <w:bCs/>
          <w:vanish/>
          <w:szCs w:val="20"/>
          <w:shd w:val="clear" w:color="auto" w:fill="FFFF99"/>
          <w:rtl/>
        </w:rPr>
      </w:pPr>
      <w:r w:rsidRPr="003C11DB">
        <w:rPr>
          <w:rFonts w:hint="cs"/>
          <w:b/>
          <w:bCs/>
          <w:vanish/>
          <w:szCs w:val="20"/>
          <w:shd w:val="clear" w:color="auto" w:fill="FFFF99"/>
          <w:rtl/>
        </w:rPr>
        <w:t>תק' תשל"ב-1972</w:t>
      </w:r>
    </w:p>
    <w:p w:rsidR="00164FFC" w:rsidRPr="003C11DB" w:rsidRDefault="00164FFC">
      <w:pPr>
        <w:pStyle w:val="P00"/>
        <w:tabs>
          <w:tab w:val="clear" w:pos="6259"/>
        </w:tabs>
        <w:spacing w:before="0"/>
        <w:ind w:left="1021" w:right="1134"/>
        <w:rPr>
          <w:rFonts w:hint="cs"/>
          <w:vanish/>
          <w:szCs w:val="20"/>
          <w:shd w:val="clear" w:color="auto" w:fill="FFFF99"/>
          <w:rtl/>
        </w:rPr>
      </w:pPr>
      <w:hyperlink r:id="rId6" w:history="1">
        <w:r w:rsidRPr="003C11DB">
          <w:rPr>
            <w:rStyle w:val="Hyperlink"/>
            <w:rFonts w:hint="cs"/>
            <w:vanish/>
            <w:szCs w:val="20"/>
            <w:shd w:val="clear" w:color="auto" w:fill="FFFF99"/>
            <w:rtl/>
          </w:rPr>
          <w:t>ק"ת תשל"ב מס' 2803</w:t>
        </w:r>
      </w:hyperlink>
      <w:r w:rsidRPr="003C11DB">
        <w:rPr>
          <w:rFonts w:hint="cs"/>
          <w:vanish/>
          <w:szCs w:val="20"/>
          <w:shd w:val="clear" w:color="auto" w:fill="FFFF99"/>
          <w:rtl/>
        </w:rPr>
        <w:t xml:space="preserve"> מיום 3.2.1972 עמ' 608</w:t>
      </w:r>
    </w:p>
    <w:p w:rsidR="00164FFC" w:rsidRPr="003C11DB" w:rsidRDefault="00164FFC">
      <w:pPr>
        <w:pStyle w:val="P00"/>
        <w:tabs>
          <w:tab w:val="clear" w:pos="6259"/>
        </w:tabs>
        <w:spacing w:before="0"/>
        <w:ind w:left="1021" w:right="1134"/>
        <w:rPr>
          <w:rFonts w:hint="cs"/>
          <w:b/>
          <w:bCs/>
          <w:vanish/>
          <w:szCs w:val="20"/>
          <w:shd w:val="clear" w:color="auto" w:fill="FFFF99"/>
          <w:rtl/>
        </w:rPr>
      </w:pPr>
      <w:r w:rsidRPr="003C11DB">
        <w:rPr>
          <w:rFonts w:hint="cs"/>
          <w:b/>
          <w:bCs/>
          <w:vanish/>
          <w:szCs w:val="20"/>
          <w:shd w:val="clear" w:color="auto" w:fill="FFFF99"/>
          <w:rtl/>
        </w:rPr>
        <w:t>החלפת פסקה 11(א)(1)</w:t>
      </w:r>
    </w:p>
    <w:p w:rsidR="00164FFC" w:rsidRPr="003C11DB" w:rsidRDefault="00164FFC">
      <w:pPr>
        <w:pStyle w:val="P00"/>
        <w:tabs>
          <w:tab w:val="clear" w:pos="6259"/>
        </w:tabs>
        <w:ind w:left="1021" w:right="1134"/>
        <w:rPr>
          <w:rFonts w:hint="cs"/>
          <w:vanish/>
          <w:szCs w:val="20"/>
          <w:shd w:val="clear" w:color="auto" w:fill="FFFF99"/>
          <w:rtl/>
        </w:rPr>
      </w:pPr>
      <w:r w:rsidRPr="003C11DB">
        <w:rPr>
          <w:rFonts w:hint="cs"/>
          <w:vanish/>
          <w:szCs w:val="20"/>
          <w:shd w:val="clear" w:color="auto" w:fill="FFFF99"/>
          <w:rtl/>
        </w:rPr>
        <w:t>הנוסח הקודם:</w:t>
      </w:r>
    </w:p>
    <w:p w:rsidR="00164FFC" w:rsidRDefault="00164FFC">
      <w:pPr>
        <w:pStyle w:val="P00"/>
        <w:tabs>
          <w:tab w:val="clear" w:pos="6259"/>
        </w:tabs>
        <w:spacing w:before="0"/>
        <w:ind w:left="1021" w:right="1134"/>
        <w:rPr>
          <w:rFonts w:hint="cs"/>
          <w:strike/>
          <w:sz w:val="2"/>
          <w:szCs w:val="2"/>
          <w:rtl/>
        </w:rPr>
      </w:pPr>
      <w:r w:rsidRPr="003C11DB">
        <w:rPr>
          <w:rFonts w:hint="cs"/>
          <w:strike/>
          <w:vanish/>
          <w:sz w:val="22"/>
          <w:szCs w:val="22"/>
          <w:shd w:val="clear" w:color="auto" w:fill="FFFF99"/>
          <w:rtl/>
        </w:rPr>
        <w:t>(1)</w:t>
      </w:r>
      <w:r w:rsidRPr="003C11DB">
        <w:rPr>
          <w:rFonts w:hint="cs"/>
          <w:strike/>
          <w:vanish/>
          <w:sz w:val="22"/>
          <w:szCs w:val="22"/>
          <w:shd w:val="clear" w:color="auto" w:fill="FFFF99"/>
          <w:rtl/>
        </w:rPr>
        <w:tab/>
        <w:t>חל הצו על רוב חברי הגרעין, יהיה כל חבר מחבריו שהצו איננו חל עליו רשאי להתייצב לשירות סדיר, אם אין הוא בגיל פחות מ-17.</w:t>
      </w:r>
      <w:bookmarkEnd w:id="2"/>
    </w:p>
    <w:p w:rsidR="00164FFC" w:rsidRDefault="00164FFC">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אין הצו חל על רוב חברי הגרעין, רשאי כל חבר שהצו חל עליו לבקש את דחיית שירותו הסדיר והוא יידחה </w:t>
      </w:r>
      <w:r>
        <w:rPr>
          <w:rStyle w:val="default"/>
          <w:rFonts w:cs="FrankRuehl"/>
          <w:rtl/>
        </w:rPr>
        <w:t>ל</w:t>
      </w:r>
      <w:r>
        <w:rPr>
          <w:rStyle w:val="default"/>
          <w:rFonts w:cs="FrankRuehl" w:hint="cs"/>
          <w:rtl/>
        </w:rPr>
        <w:t>תקופה שלא תעלה על שנים-עשר חדשים.</w:t>
      </w:r>
    </w:p>
    <w:p w:rsidR="00164FFC" w:rsidRDefault="00F048D5" w:rsidP="003C11DB">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32" type="#_x0000_t202" style="position:absolute;left:0;text-align:left;margin-left:470.25pt;margin-top:7.1pt;width:1in;height:14.3pt;z-index:251659264" filled="f" stroked="f">
            <v:textbox inset="1mm,0,1mm,0">
              <w:txbxContent>
                <w:p w:rsidR="00F048D5" w:rsidRDefault="00F048D5" w:rsidP="00F048D5">
                  <w:pPr>
                    <w:spacing w:line="160" w:lineRule="exact"/>
                    <w:jc w:val="left"/>
                    <w:rPr>
                      <w:rFonts w:cs="Miriam"/>
                      <w:noProof/>
                      <w:szCs w:val="18"/>
                      <w:rtl/>
                    </w:rPr>
                  </w:pPr>
                  <w:r>
                    <w:rPr>
                      <w:rFonts w:cs="Miriam"/>
                      <w:szCs w:val="18"/>
                      <w:rtl/>
                    </w:rPr>
                    <w:t>ת</w:t>
                  </w:r>
                  <w:r>
                    <w:rPr>
                      <w:rFonts w:cs="Miriam" w:hint="cs"/>
                      <w:szCs w:val="18"/>
                      <w:rtl/>
                    </w:rPr>
                    <w:t>ק' תשס"ט-2009</w:t>
                  </w:r>
                </w:p>
              </w:txbxContent>
            </v:textbox>
          </v:shape>
        </w:pict>
      </w:r>
      <w:r w:rsidR="00164FFC">
        <w:rPr>
          <w:rtl/>
        </w:rPr>
        <w:tab/>
      </w:r>
      <w:r w:rsidR="00164FFC">
        <w:rPr>
          <w:rStyle w:val="default"/>
          <w:rFonts w:cs="FrankRuehl"/>
          <w:rtl/>
        </w:rPr>
        <w:t>(</w:t>
      </w:r>
      <w:r w:rsidR="00164FFC">
        <w:rPr>
          <w:rStyle w:val="default"/>
          <w:rFonts w:cs="FrankRuehl" w:hint="cs"/>
          <w:rtl/>
        </w:rPr>
        <w:t>ב)</w:t>
      </w:r>
      <w:r w:rsidR="00164FFC">
        <w:rPr>
          <w:rStyle w:val="default"/>
          <w:rFonts w:cs="FrankRuehl"/>
          <w:rtl/>
        </w:rPr>
        <w:tab/>
      </w:r>
      <w:r w:rsidR="00164FFC">
        <w:rPr>
          <w:rStyle w:val="default"/>
          <w:rFonts w:cs="FrankRuehl" w:hint="cs"/>
          <w:rtl/>
        </w:rPr>
        <w:t>גברים</w:t>
      </w:r>
      <w:r>
        <w:rPr>
          <w:rStyle w:val="default"/>
          <w:rFonts w:cs="FrankRuehl" w:hint="cs"/>
          <w:rtl/>
        </w:rPr>
        <w:t>,</w:t>
      </w:r>
      <w:r w:rsidR="00164FFC">
        <w:rPr>
          <w:rStyle w:val="default"/>
          <w:rFonts w:cs="FrankRuehl" w:hint="cs"/>
          <w:rtl/>
        </w:rPr>
        <w:t xml:space="preserve"> חברי </w:t>
      </w:r>
      <w:r>
        <w:rPr>
          <w:rStyle w:val="default"/>
          <w:rFonts w:cs="FrankRuehl" w:hint="cs"/>
          <w:rtl/>
        </w:rPr>
        <w:t>כלל הגרעינים במחזור גיוס, המשרתים בתפקידי לוחם כהגדרתם בפקודות הצבא, ישרתו, כל עוד הם משרתים כלוחמים כאמור, ביחידה אחת או בשתי יחידות; ואולם ראש אגף כוח אדם בצבא הגנה לישראל רשאי, במקרים חריגים בלבד ובהסכמת ראש האגף הביטחוני חברתי במשרד הביטחון להורות כי חברי הגרעינים כאמור ישרתו אף ביותר משתי יחידות</w:t>
      </w:r>
      <w:r w:rsidR="00164FFC">
        <w:rPr>
          <w:rStyle w:val="default"/>
          <w:rFonts w:cs="FrankRuehl" w:hint="cs"/>
          <w:rtl/>
        </w:rPr>
        <w:t>.</w:t>
      </w:r>
    </w:p>
    <w:p w:rsidR="00F048D5" w:rsidRPr="003C11DB" w:rsidRDefault="00F048D5" w:rsidP="00F048D5">
      <w:pPr>
        <w:pStyle w:val="P00"/>
        <w:spacing w:before="0"/>
        <w:ind w:left="0" w:right="1134"/>
        <w:rPr>
          <w:rStyle w:val="default"/>
          <w:rFonts w:cs="FrankRuehl" w:hint="cs"/>
          <w:vanish/>
          <w:color w:val="FF0000"/>
          <w:szCs w:val="20"/>
          <w:shd w:val="clear" w:color="auto" w:fill="FFFF99"/>
          <w:rtl/>
        </w:rPr>
      </w:pPr>
      <w:bookmarkStart w:id="3" w:name="Rov7"/>
      <w:r w:rsidRPr="003C11DB">
        <w:rPr>
          <w:rStyle w:val="default"/>
          <w:rFonts w:cs="FrankRuehl" w:hint="cs"/>
          <w:vanish/>
          <w:color w:val="FF0000"/>
          <w:szCs w:val="20"/>
          <w:shd w:val="clear" w:color="auto" w:fill="FFFF99"/>
          <w:rtl/>
        </w:rPr>
        <w:t>מיום 23.3.2009</w:t>
      </w:r>
    </w:p>
    <w:p w:rsidR="00F048D5" w:rsidRPr="003C11DB" w:rsidRDefault="00F048D5" w:rsidP="00F048D5">
      <w:pPr>
        <w:pStyle w:val="P00"/>
        <w:spacing w:before="0"/>
        <w:ind w:left="0" w:right="1134"/>
        <w:rPr>
          <w:rStyle w:val="default"/>
          <w:rFonts w:cs="FrankRuehl" w:hint="cs"/>
          <w:vanish/>
          <w:szCs w:val="20"/>
          <w:shd w:val="clear" w:color="auto" w:fill="FFFF99"/>
          <w:rtl/>
        </w:rPr>
      </w:pPr>
      <w:r w:rsidRPr="003C11DB">
        <w:rPr>
          <w:rStyle w:val="default"/>
          <w:rFonts w:cs="FrankRuehl" w:hint="cs"/>
          <w:b/>
          <w:bCs/>
          <w:vanish/>
          <w:szCs w:val="20"/>
          <w:shd w:val="clear" w:color="auto" w:fill="FFFF99"/>
          <w:rtl/>
        </w:rPr>
        <w:t>תק' תשס"ט-2009</w:t>
      </w:r>
    </w:p>
    <w:p w:rsidR="00F048D5" w:rsidRPr="003C11DB" w:rsidRDefault="00F048D5" w:rsidP="00F048D5">
      <w:pPr>
        <w:pStyle w:val="P00"/>
        <w:spacing w:before="0"/>
        <w:ind w:left="0" w:right="1134"/>
        <w:rPr>
          <w:rStyle w:val="default"/>
          <w:rFonts w:cs="FrankRuehl" w:hint="cs"/>
          <w:vanish/>
          <w:szCs w:val="20"/>
          <w:shd w:val="clear" w:color="auto" w:fill="FFFF99"/>
          <w:rtl/>
        </w:rPr>
      </w:pPr>
      <w:hyperlink r:id="rId7" w:history="1">
        <w:r w:rsidRPr="003C11DB">
          <w:rPr>
            <w:rStyle w:val="Hyperlink"/>
            <w:rFonts w:hint="cs"/>
            <w:vanish/>
            <w:szCs w:val="20"/>
            <w:shd w:val="clear" w:color="auto" w:fill="FFFF99"/>
            <w:rtl/>
          </w:rPr>
          <w:t>ק"ת תשס"ט מס' 6767</w:t>
        </w:r>
      </w:hyperlink>
      <w:r w:rsidRPr="003C11DB">
        <w:rPr>
          <w:rStyle w:val="default"/>
          <w:rFonts w:cs="FrankRuehl" w:hint="cs"/>
          <w:vanish/>
          <w:szCs w:val="20"/>
          <w:shd w:val="clear" w:color="auto" w:fill="FFFF99"/>
          <w:rtl/>
        </w:rPr>
        <w:t xml:space="preserve"> מיום 23.3.2009 עמ' 664</w:t>
      </w:r>
    </w:p>
    <w:p w:rsidR="00F048D5" w:rsidRPr="003C11DB" w:rsidRDefault="00F048D5" w:rsidP="00F048D5">
      <w:pPr>
        <w:pStyle w:val="P00"/>
        <w:spacing w:before="0"/>
        <w:ind w:left="0" w:right="1134"/>
        <w:rPr>
          <w:rStyle w:val="default"/>
          <w:rFonts w:cs="FrankRuehl" w:hint="cs"/>
          <w:vanish/>
          <w:szCs w:val="20"/>
          <w:shd w:val="clear" w:color="auto" w:fill="FFFF99"/>
          <w:rtl/>
        </w:rPr>
      </w:pPr>
      <w:r w:rsidRPr="003C11DB">
        <w:rPr>
          <w:rStyle w:val="default"/>
          <w:rFonts w:cs="FrankRuehl" w:hint="cs"/>
          <w:b/>
          <w:bCs/>
          <w:vanish/>
          <w:szCs w:val="20"/>
          <w:shd w:val="clear" w:color="auto" w:fill="FFFF99"/>
          <w:rtl/>
        </w:rPr>
        <w:t>החלפת תקנת משנה 11(ב)</w:t>
      </w:r>
    </w:p>
    <w:p w:rsidR="00F048D5" w:rsidRPr="003C11DB" w:rsidRDefault="00F048D5" w:rsidP="00F048D5">
      <w:pPr>
        <w:pStyle w:val="P00"/>
        <w:ind w:left="0" w:right="1134"/>
        <w:rPr>
          <w:rStyle w:val="default"/>
          <w:rFonts w:cs="FrankRuehl" w:hint="cs"/>
          <w:vanish/>
          <w:szCs w:val="20"/>
          <w:shd w:val="clear" w:color="auto" w:fill="FFFF99"/>
          <w:rtl/>
        </w:rPr>
      </w:pPr>
      <w:r w:rsidRPr="003C11DB">
        <w:rPr>
          <w:rStyle w:val="default"/>
          <w:rFonts w:cs="FrankRuehl" w:hint="cs"/>
          <w:vanish/>
          <w:szCs w:val="20"/>
          <w:shd w:val="clear" w:color="auto" w:fill="FFFF99"/>
          <w:rtl/>
        </w:rPr>
        <w:t>הנוסח הקודם:</w:t>
      </w:r>
    </w:p>
    <w:p w:rsidR="00F048D5" w:rsidRPr="003C11DB" w:rsidRDefault="00F048D5" w:rsidP="003C11DB">
      <w:pPr>
        <w:pStyle w:val="P00"/>
        <w:spacing w:before="0"/>
        <w:ind w:left="0" w:right="1134"/>
        <w:rPr>
          <w:rStyle w:val="default"/>
          <w:rFonts w:cs="FrankRuehl" w:hint="cs"/>
          <w:strike/>
          <w:sz w:val="2"/>
          <w:szCs w:val="2"/>
          <w:rtl/>
        </w:rPr>
      </w:pPr>
      <w:r w:rsidRPr="003C11DB">
        <w:rPr>
          <w:vanish/>
          <w:sz w:val="22"/>
          <w:szCs w:val="22"/>
          <w:shd w:val="clear" w:color="auto" w:fill="FFFF99"/>
          <w:rtl/>
        </w:rPr>
        <w:tab/>
      </w:r>
      <w:r w:rsidRPr="003C11DB">
        <w:rPr>
          <w:rStyle w:val="default"/>
          <w:rFonts w:cs="FrankRuehl"/>
          <w:strike/>
          <w:vanish/>
          <w:sz w:val="22"/>
          <w:szCs w:val="22"/>
          <w:shd w:val="clear" w:color="auto" w:fill="FFFF99"/>
          <w:rtl/>
        </w:rPr>
        <w:t>(</w:t>
      </w:r>
      <w:r w:rsidRPr="003C11DB">
        <w:rPr>
          <w:rStyle w:val="default"/>
          <w:rFonts w:cs="FrankRuehl" w:hint="cs"/>
          <w:strike/>
          <w:vanish/>
          <w:sz w:val="22"/>
          <w:szCs w:val="22"/>
          <w:shd w:val="clear" w:color="auto" w:fill="FFFF99"/>
          <w:rtl/>
        </w:rPr>
        <w:t>ב)</w:t>
      </w:r>
      <w:r w:rsidRPr="003C11DB">
        <w:rPr>
          <w:rStyle w:val="default"/>
          <w:rFonts w:cs="FrankRuehl"/>
          <w:strike/>
          <w:vanish/>
          <w:sz w:val="22"/>
          <w:szCs w:val="22"/>
          <w:shd w:val="clear" w:color="auto" w:fill="FFFF99"/>
          <w:rtl/>
        </w:rPr>
        <w:tab/>
      </w:r>
      <w:r w:rsidRPr="003C11DB">
        <w:rPr>
          <w:rStyle w:val="default"/>
          <w:rFonts w:cs="FrankRuehl" w:hint="cs"/>
          <w:strike/>
          <w:vanish/>
          <w:sz w:val="22"/>
          <w:szCs w:val="22"/>
          <w:shd w:val="clear" w:color="auto" w:fill="FFFF99"/>
          <w:rtl/>
        </w:rPr>
        <w:t>גברים חברי גרעין אחד שהתייצבו לשירות סדיר יאומנו אימון צבאי ראשוני בבסיס אימונים, או במחנה אימונים, אחד לכולם ובמחזור אימונים אחד לכולם.</w:t>
      </w:r>
      <w:bookmarkEnd w:id="3"/>
    </w:p>
    <w:p w:rsidR="00F048D5" w:rsidRDefault="00F048D5" w:rsidP="003C11DB">
      <w:pPr>
        <w:pStyle w:val="P00"/>
        <w:spacing w:before="72"/>
        <w:ind w:left="0" w:right="1134"/>
        <w:rPr>
          <w:rStyle w:val="default"/>
          <w:rFonts w:cs="FrankRuehl" w:hint="cs"/>
          <w:rtl/>
        </w:rPr>
      </w:pPr>
      <w:r>
        <w:rPr>
          <w:rtl/>
          <w:lang w:eastAsia="en-US"/>
        </w:rPr>
        <w:pict>
          <v:shape id="_x0000_s1033" type="#_x0000_t202" style="position:absolute;left:0;text-align:left;margin-left:470.25pt;margin-top:7.1pt;width:1in;height:14.3pt;z-index:251660288" filled="f" stroked="f">
            <v:textbox inset="1mm,0,1mm,0">
              <w:txbxContent>
                <w:p w:rsidR="00F048D5" w:rsidRDefault="00F048D5" w:rsidP="00F048D5">
                  <w:pPr>
                    <w:spacing w:line="160" w:lineRule="exact"/>
                    <w:jc w:val="left"/>
                    <w:rPr>
                      <w:rFonts w:cs="Miriam"/>
                      <w:noProof/>
                      <w:szCs w:val="18"/>
                      <w:rtl/>
                    </w:rPr>
                  </w:pPr>
                  <w:r>
                    <w:rPr>
                      <w:rFonts w:cs="Miriam"/>
                      <w:szCs w:val="18"/>
                      <w:rtl/>
                    </w:rPr>
                    <w:t>ת</w:t>
                  </w:r>
                  <w:r>
                    <w:rPr>
                      <w:rFonts w:cs="Miriam" w:hint="cs"/>
                      <w:szCs w:val="18"/>
                      <w:rtl/>
                    </w:rPr>
                    <w:t>ק' תשס"ט-2009</w:t>
                  </w:r>
                </w:p>
              </w:txbxContent>
            </v:textbox>
          </v:shape>
        </w:pict>
      </w:r>
      <w:r>
        <w:rPr>
          <w:rtl/>
        </w:rPr>
        <w:tab/>
      </w:r>
      <w:r>
        <w:rPr>
          <w:rStyle w:val="default"/>
          <w:rFonts w:cs="FrankRuehl"/>
          <w:rtl/>
        </w:rPr>
        <w:t>(</w:t>
      </w:r>
      <w:r>
        <w:rPr>
          <w:rStyle w:val="default"/>
          <w:rFonts w:cs="FrankRuehl" w:hint="cs"/>
          <w:rtl/>
        </w:rPr>
        <w:t>ב</w:t>
      </w:r>
      <w:r w:rsidR="003C11DB">
        <w:rPr>
          <w:rStyle w:val="default"/>
          <w:rFonts w:cs="FrankRuehl" w:hint="cs"/>
          <w:rtl/>
        </w:rPr>
        <w:t>1</w:t>
      </w:r>
      <w:r>
        <w:rPr>
          <w:rStyle w:val="default"/>
          <w:rFonts w:cs="FrankRuehl" w:hint="cs"/>
          <w:rtl/>
        </w:rPr>
        <w:t>)</w:t>
      </w:r>
      <w:r>
        <w:rPr>
          <w:rStyle w:val="default"/>
          <w:rFonts w:cs="FrankRuehl"/>
          <w:rtl/>
        </w:rPr>
        <w:tab/>
      </w:r>
      <w:r w:rsidR="003C11DB">
        <w:rPr>
          <w:rStyle w:val="default"/>
          <w:rFonts w:cs="FrankRuehl" w:hint="cs"/>
          <w:rtl/>
        </w:rPr>
        <w:t>על אף האמור בתקנת משנה (ב), לוחמים כאמור יוכלו להשתתף בהכשרה צבאית מקצועית שאינה אימון צבאי ראשוני, אף שלא במסגרת יחידה או יחידות כאמור.</w:t>
      </w:r>
    </w:p>
    <w:p w:rsidR="00F048D5" w:rsidRPr="003C11DB" w:rsidRDefault="00F048D5" w:rsidP="00F048D5">
      <w:pPr>
        <w:pStyle w:val="P00"/>
        <w:spacing w:before="0"/>
        <w:ind w:left="0" w:right="1134"/>
        <w:rPr>
          <w:rStyle w:val="default"/>
          <w:rFonts w:cs="FrankRuehl" w:hint="cs"/>
          <w:vanish/>
          <w:color w:val="FF0000"/>
          <w:szCs w:val="20"/>
          <w:shd w:val="clear" w:color="auto" w:fill="FFFF99"/>
          <w:rtl/>
        </w:rPr>
      </w:pPr>
      <w:bookmarkStart w:id="4" w:name="Rov8"/>
      <w:r w:rsidRPr="003C11DB">
        <w:rPr>
          <w:rStyle w:val="default"/>
          <w:rFonts w:cs="FrankRuehl" w:hint="cs"/>
          <w:vanish/>
          <w:color w:val="FF0000"/>
          <w:szCs w:val="20"/>
          <w:shd w:val="clear" w:color="auto" w:fill="FFFF99"/>
          <w:rtl/>
        </w:rPr>
        <w:t>מיום 23.3.2009</w:t>
      </w:r>
    </w:p>
    <w:p w:rsidR="00F048D5" w:rsidRPr="003C11DB" w:rsidRDefault="00F048D5" w:rsidP="00F048D5">
      <w:pPr>
        <w:pStyle w:val="P00"/>
        <w:spacing w:before="0"/>
        <w:ind w:left="0" w:right="1134"/>
        <w:rPr>
          <w:rStyle w:val="default"/>
          <w:rFonts w:cs="FrankRuehl" w:hint="cs"/>
          <w:vanish/>
          <w:szCs w:val="20"/>
          <w:shd w:val="clear" w:color="auto" w:fill="FFFF99"/>
          <w:rtl/>
        </w:rPr>
      </w:pPr>
      <w:r w:rsidRPr="003C11DB">
        <w:rPr>
          <w:rStyle w:val="default"/>
          <w:rFonts w:cs="FrankRuehl" w:hint="cs"/>
          <w:b/>
          <w:bCs/>
          <w:vanish/>
          <w:szCs w:val="20"/>
          <w:shd w:val="clear" w:color="auto" w:fill="FFFF99"/>
          <w:rtl/>
        </w:rPr>
        <w:t>תק' תשס"ט-2009</w:t>
      </w:r>
    </w:p>
    <w:p w:rsidR="00F048D5" w:rsidRPr="003C11DB" w:rsidRDefault="00F048D5" w:rsidP="00F048D5">
      <w:pPr>
        <w:pStyle w:val="P00"/>
        <w:spacing w:before="0"/>
        <w:ind w:left="0" w:right="1134"/>
        <w:rPr>
          <w:rStyle w:val="default"/>
          <w:rFonts w:cs="FrankRuehl" w:hint="cs"/>
          <w:vanish/>
          <w:szCs w:val="20"/>
          <w:shd w:val="clear" w:color="auto" w:fill="FFFF99"/>
          <w:rtl/>
        </w:rPr>
      </w:pPr>
      <w:hyperlink r:id="rId8" w:history="1">
        <w:r w:rsidRPr="003C11DB">
          <w:rPr>
            <w:rStyle w:val="Hyperlink"/>
            <w:rFonts w:hint="cs"/>
            <w:vanish/>
            <w:szCs w:val="20"/>
            <w:shd w:val="clear" w:color="auto" w:fill="FFFF99"/>
            <w:rtl/>
          </w:rPr>
          <w:t>ק"ת תשס"ט מס' 6767</w:t>
        </w:r>
      </w:hyperlink>
      <w:r w:rsidRPr="003C11DB">
        <w:rPr>
          <w:rStyle w:val="default"/>
          <w:rFonts w:cs="FrankRuehl" w:hint="cs"/>
          <w:vanish/>
          <w:szCs w:val="20"/>
          <w:shd w:val="clear" w:color="auto" w:fill="FFFF99"/>
          <w:rtl/>
        </w:rPr>
        <w:t xml:space="preserve"> מיום 23.3.2009 עמ' 664</w:t>
      </w:r>
    </w:p>
    <w:p w:rsidR="00F048D5" w:rsidRPr="003C11DB" w:rsidRDefault="00F048D5" w:rsidP="003C11DB">
      <w:pPr>
        <w:pStyle w:val="P00"/>
        <w:spacing w:before="0"/>
        <w:ind w:left="0" w:right="1134"/>
        <w:rPr>
          <w:rStyle w:val="default"/>
          <w:rFonts w:cs="FrankRuehl" w:hint="cs"/>
          <w:sz w:val="2"/>
          <w:szCs w:val="2"/>
          <w:rtl/>
        </w:rPr>
      </w:pPr>
      <w:r w:rsidRPr="003C11DB">
        <w:rPr>
          <w:rStyle w:val="default"/>
          <w:rFonts w:cs="FrankRuehl" w:hint="cs"/>
          <w:b/>
          <w:bCs/>
          <w:vanish/>
          <w:szCs w:val="20"/>
          <w:shd w:val="clear" w:color="auto" w:fill="FFFF99"/>
          <w:rtl/>
        </w:rPr>
        <w:t>הוספת תקנת משנה 11(ב1)</w:t>
      </w:r>
      <w:bookmarkEnd w:id="4"/>
    </w:p>
    <w:p w:rsidR="00164FFC" w:rsidRDefault="00164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תקנת-משנה (ב) לא תחול על בני אדם שהיו לחברי גרעין אחד בשעה שחלק מן הגרעין </w:t>
      </w:r>
      <w:r>
        <w:rPr>
          <w:rStyle w:val="default"/>
          <w:rFonts w:cs="FrankRuehl"/>
          <w:rtl/>
        </w:rPr>
        <w:t>כ</w:t>
      </w:r>
      <w:r>
        <w:rPr>
          <w:rStyle w:val="default"/>
          <w:rFonts w:cs="FrankRuehl" w:hint="cs"/>
          <w:rtl/>
        </w:rPr>
        <w:t>בר מתאמן אימון צבאי ראשוני.</w:t>
      </w:r>
    </w:p>
    <w:p w:rsidR="00164FFC" w:rsidRDefault="00164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חברי גרעין אחד יקבלו את הכשרתם החקלאית במקום הכשרה אחד לכולם.</w:t>
      </w:r>
    </w:p>
    <w:p w:rsidR="00164FFC" w:rsidRDefault="00164FF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תקנת משנה (ד) לא תחול על </w:t>
      </w:r>
      <w:r>
        <w:rPr>
          <w:rStyle w:val="default"/>
          <w:rFonts w:cs="FrankRuehl"/>
          <w:rtl/>
        </w:rPr>
        <w:t>–</w:t>
      </w:r>
    </w:p>
    <w:p w:rsidR="00164FFC" w:rsidRDefault="00164FF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חבר לגרעין שלגביו הורה שר הבטחון על פי סעיף 6(ו)(1) לחוק, כי תקופת שירותם המיועדת להכשרה חקלאית תוק</w:t>
      </w:r>
      <w:r>
        <w:rPr>
          <w:rStyle w:val="default"/>
          <w:rFonts w:cs="FrankRuehl"/>
          <w:rtl/>
        </w:rPr>
        <w:t>ד</w:t>
      </w:r>
      <w:r>
        <w:rPr>
          <w:rStyle w:val="default"/>
          <w:rFonts w:cs="FrankRuehl" w:hint="cs"/>
          <w:rtl/>
        </w:rPr>
        <w:t>ש, כולה או מקצתה, לשירות בחיל האויר או בחיל הים;</w:t>
      </w:r>
    </w:p>
    <w:p w:rsidR="00164FFC" w:rsidRDefault="00164FF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חבר לגרעין הנשלח על פי סעיף 6(ו)(5)</w:t>
      </w:r>
      <w:r>
        <w:rPr>
          <w:rStyle w:val="default"/>
          <w:rFonts w:cs="FrankRuehl"/>
          <w:rtl/>
        </w:rPr>
        <w:t xml:space="preserve"> </w:t>
      </w:r>
      <w:r>
        <w:rPr>
          <w:rStyle w:val="default"/>
          <w:rFonts w:cs="FrankRuehl" w:hint="cs"/>
          <w:rtl/>
        </w:rPr>
        <w:t>לחוק, להתאמן או לשרת בתפקיד פיקודי של שירות בטחון; ובלבד שמספר החברים לגרעין שיישלחו כאמור ביחס ליתר חברי אותו גרעין לא יעלה על עשרים אחוז.</w:t>
      </w:r>
    </w:p>
    <w:p w:rsidR="00164FFC" w:rsidRDefault="00164FF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חבר גרעין שלא קיבל את אימונו הצבאי הראשוני או את הכשרתו החקלאית יחד עם יתר חברי גרעינו מחמת מחלה, סיבה משפחתית</w:t>
      </w:r>
      <w:r>
        <w:rPr>
          <w:rStyle w:val="default"/>
          <w:rFonts w:cs="FrankRuehl"/>
          <w:rtl/>
        </w:rPr>
        <w:t xml:space="preserve"> </w:t>
      </w:r>
      <w:r>
        <w:rPr>
          <w:rStyle w:val="default"/>
          <w:rFonts w:cs="FrankRuehl" w:hint="cs"/>
          <w:rtl/>
        </w:rPr>
        <w:t>או אישית אין תקנה זו פוטרת אותו מקבל את אימונו הצבאי הראשוני או את הכשרתו החקלאית במקום אחר או בזמן אחר.</w:t>
      </w:r>
    </w:p>
    <w:p w:rsidR="00164FFC" w:rsidRDefault="00164FFC">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בתקנה זו "חבר גרעין התישבותי" </w:t>
      </w:r>
      <w:r w:rsidR="00EB5215">
        <w:rPr>
          <w:rStyle w:val="default"/>
          <w:rFonts w:cs="FrankRuehl"/>
          <w:rtl/>
        </w:rPr>
        <w:t>–</w:t>
      </w:r>
      <w:r>
        <w:rPr>
          <w:rStyle w:val="default"/>
          <w:rFonts w:cs="FrankRuehl" w:hint="cs"/>
          <w:rtl/>
        </w:rPr>
        <w:t xml:space="preserve"> פירושו, אדם שהצהיר שהוא חבר לגרעין התישבותי מסויים ושמו רשום ברשימה של חברי אותו גרעין, שאושרה על ידי שר הבטח</w:t>
      </w:r>
      <w:r>
        <w:rPr>
          <w:rStyle w:val="default"/>
          <w:rFonts w:cs="FrankRuehl"/>
          <w:rtl/>
        </w:rPr>
        <w:t>ו</w:t>
      </w:r>
      <w:r>
        <w:rPr>
          <w:rStyle w:val="default"/>
          <w:rFonts w:cs="FrankRuehl" w:hint="cs"/>
          <w:rtl/>
        </w:rPr>
        <w:t>ן או על ידי מי שהוסמך מטעמו לאשר רשימות של גרעינים התישבותיים, וכל זמן שאישור הרשימה עומד בתקפו והאדם לא חדל מהיות חבר באותו גרעין;</w:t>
      </w:r>
    </w:p>
    <w:p w:rsidR="00164FFC" w:rsidRDefault="00164FFC">
      <w:pPr>
        <w:pStyle w:val="P22"/>
        <w:spacing w:before="72"/>
        <w:ind w:left="1021" w:right="1134"/>
        <w:rPr>
          <w:rStyle w:val="default"/>
          <w:rFonts w:cs="FrankRuehl" w:hint="cs"/>
          <w:rtl/>
        </w:rPr>
      </w:pPr>
      <w:r>
        <w:rPr>
          <w:lang w:val="he-IL"/>
        </w:rPr>
        <w:pict>
          <v:rect id="_x0000_s1030" style="position:absolute;left:0;text-align:left;margin-left:464.5pt;margin-top:8.05pt;width:75.05pt;height:8pt;z-index:251658240" o:allowincell="f" filled="f" stroked="f" strokecolor="lime" strokeweight=".25pt">
            <v:textbox inset="0,0,0,0">
              <w:txbxContent>
                <w:p w:rsidR="00164FFC" w:rsidRDefault="00164FFC">
                  <w:pPr>
                    <w:spacing w:line="160" w:lineRule="exact"/>
                    <w:jc w:val="left"/>
                    <w:rPr>
                      <w:rFonts w:cs="Miriam"/>
                      <w:noProof/>
                      <w:szCs w:val="18"/>
                      <w:rtl/>
                    </w:rPr>
                  </w:pPr>
                  <w:r>
                    <w:rPr>
                      <w:rFonts w:cs="Miriam"/>
                      <w:szCs w:val="18"/>
                      <w:rtl/>
                    </w:rPr>
                    <w:t>ת</w:t>
                  </w:r>
                  <w:r>
                    <w:rPr>
                      <w:rFonts w:cs="Miriam" w:hint="cs"/>
                      <w:szCs w:val="18"/>
                      <w:rtl/>
                    </w:rPr>
                    <w:t>ק' תשנ"ו-1996</w:t>
                  </w:r>
                </w:p>
              </w:txbxContent>
            </v:textbox>
            <w10:anchorlock/>
          </v:rect>
        </w:pict>
      </w:r>
      <w:r>
        <w:rPr>
          <w:rStyle w:val="default"/>
          <w:rFonts w:cs="FrankRuehl"/>
          <w:rtl/>
        </w:rPr>
        <w:t>(2)</w:t>
      </w:r>
      <w:r>
        <w:rPr>
          <w:rStyle w:val="default"/>
          <w:rFonts w:cs="FrankRuehl"/>
          <w:rtl/>
        </w:rPr>
        <w:tab/>
      </w:r>
      <w:r>
        <w:rPr>
          <w:rStyle w:val="default"/>
          <w:rFonts w:cs="FrankRuehl" w:hint="cs"/>
          <w:rtl/>
        </w:rPr>
        <w:t>רואים אדם כמי שחדל להיות חבר בגרעין מסויים, אם הצהיר כך על עצמו או אם נמחק מהרשימה האמורה לפי דרישת ר</w:t>
      </w:r>
      <w:r>
        <w:rPr>
          <w:rStyle w:val="default"/>
          <w:rFonts w:cs="FrankRuehl"/>
          <w:rtl/>
        </w:rPr>
        <w:t>ו</w:t>
      </w:r>
      <w:r>
        <w:rPr>
          <w:rStyle w:val="default"/>
          <w:rFonts w:cs="FrankRuehl" w:hint="cs"/>
          <w:rtl/>
        </w:rPr>
        <w:t>ב חברי הגרעין, או אם הורה שר הבטחון או מי ששר הבטחון הסמיכו לאשר רשימות של גרעינים התישבותיים, על הרחקתו.</w:t>
      </w:r>
    </w:p>
    <w:p w:rsidR="00164FFC" w:rsidRPr="003C11DB" w:rsidRDefault="00164FFC">
      <w:pPr>
        <w:pStyle w:val="P00"/>
        <w:spacing w:before="0"/>
        <w:ind w:left="1021" w:right="1134"/>
        <w:rPr>
          <w:b/>
          <w:bCs/>
          <w:vanish/>
          <w:szCs w:val="20"/>
          <w:shd w:val="clear" w:color="auto" w:fill="FFFF99"/>
          <w:rtl/>
        </w:rPr>
      </w:pPr>
      <w:bookmarkStart w:id="5" w:name="Rov5"/>
      <w:r w:rsidRPr="003C11DB">
        <w:rPr>
          <w:rFonts w:hint="cs"/>
          <w:vanish/>
          <w:color w:val="FF0000"/>
          <w:szCs w:val="20"/>
          <w:shd w:val="clear" w:color="auto" w:fill="FFFF99"/>
          <w:rtl/>
        </w:rPr>
        <w:t>מיום 11.1.1996</w:t>
      </w:r>
    </w:p>
    <w:p w:rsidR="00164FFC" w:rsidRPr="003C11DB" w:rsidRDefault="00164FFC">
      <w:pPr>
        <w:pStyle w:val="P00"/>
        <w:spacing w:before="0"/>
        <w:ind w:left="1021" w:right="1134"/>
        <w:rPr>
          <w:rFonts w:hint="cs"/>
          <w:b/>
          <w:bCs/>
          <w:vanish/>
          <w:szCs w:val="20"/>
          <w:shd w:val="clear" w:color="auto" w:fill="FFFF99"/>
          <w:rtl/>
        </w:rPr>
      </w:pPr>
      <w:r w:rsidRPr="003C11DB">
        <w:rPr>
          <w:rFonts w:hint="cs"/>
          <w:b/>
          <w:bCs/>
          <w:vanish/>
          <w:szCs w:val="20"/>
          <w:shd w:val="clear" w:color="auto" w:fill="FFFF99"/>
          <w:rtl/>
        </w:rPr>
        <w:t>תק' תשנ"ו-1996</w:t>
      </w:r>
    </w:p>
    <w:p w:rsidR="00164FFC" w:rsidRPr="003C11DB" w:rsidRDefault="00164FFC">
      <w:pPr>
        <w:pStyle w:val="P00"/>
        <w:tabs>
          <w:tab w:val="clear" w:pos="6259"/>
        </w:tabs>
        <w:spacing w:before="0"/>
        <w:ind w:left="1021" w:right="1134"/>
        <w:rPr>
          <w:rFonts w:hint="cs"/>
          <w:vanish/>
          <w:szCs w:val="20"/>
          <w:shd w:val="clear" w:color="auto" w:fill="FFFF99"/>
          <w:rtl/>
        </w:rPr>
      </w:pPr>
      <w:hyperlink r:id="rId9" w:history="1">
        <w:r w:rsidRPr="003C11DB">
          <w:rPr>
            <w:rStyle w:val="Hyperlink"/>
            <w:rFonts w:hint="cs"/>
            <w:vanish/>
            <w:szCs w:val="20"/>
            <w:shd w:val="clear" w:color="auto" w:fill="FFFF99"/>
            <w:rtl/>
          </w:rPr>
          <w:t>ק"ת תשנ"ו מס' 5730</w:t>
        </w:r>
      </w:hyperlink>
      <w:r w:rsidRPr="003C11DB">
        <w:rPr>
          <w:rFonts w:hint="cs"/>
          <w:vanish/>
          <w:szCs w:val="20"/>
          <w:shd w:val="clear" w:color="auto" w:fill="FFFF99"/>
          <w:rtl/>
        </w:rPr>
        <w:t xml:space="preserve"> מיום 11.1.1996 עמ' 426</w:t>
      </w:r>
    </w:p>
    <w:p w:rsidR="00164FFC" w:rsidRDefault="00164FFC">
      <w:pPr>
        <w:pStyle w:val="P22"/>
        <w:ind w:left="1021" w:right="1134"/>
        <w:rPr>
          <w:rStyle w:val="default"/>
          <w:rFonts w:cs="FrankRuehl" w:hint="cs"/>
          <w:sz w:val="2"/>
          <w:szCs w:val="2"/>
          <w:rtl/>
        </w:rPr>
      </w:pPr>
      <w:r w:rsidRPr="003C11DB">
        <w:rPr>
          <w:rStyle w:val="default"/>
          <w:rFonts w:cs="FrankRuehl"/>
          <w:vanish/>
          <w:sz w:val="22"/>
          <w:szCs w:val="22"/>
          <w:shd w:val="clear" w:color="auto" w:fill="FFFF99"/>
          <w:rtl/>
        </w:rPr>
        <w:t>(2)</w:t>
      </w:r>
      <w:r w:rsidRPr="003C11DB">
        <w:rPr>
          <w:rStyle w:val="default"/>
          <w:rFonts w:cs="FrankRuehl"/>
          <w:vanish/>
          <w:sz w:val="22"/>
          <w:szCs w:val="22"/>
          <w:shd w:val="clear" w:color="auto" w:fill="FFFF99"/>
          <w:rtl/>
        </w:rPr>
        <w:tab/>
      </w:r>
      <w:r w:rsidRPr="003C11DB">
        <w:rPr>
          <w:rStyle w:val="default"/>
          <w:rFonts w:cs="FrankRuehl" w:hint="cs"/>
          <w:vanish/>
          <w:sz w:val="22"/>
          <w:szCs w:val="22"/>
          <w:shd w:val="clear" w:color="auto" w:fill="FFFF99"/>
          <w:rtl/>
        </w:rPr>
        <w:t>רואים אדם כמי שחדל להיות חבר בגרעין מסויים, אם הצהיר כך על עצמו או אם נמחק מהרשימה האמורה לפי דרישת ר</w:t>
      </w:r>
      <w:r w:rsidRPr="003C11DB">
        <w:rPr>
          <w:rStyle w:val="default"/>
          <w:rFonts w:cs="FrankRuehl"/>
          <w:vanish/>
          <w:sz w:val="22"/>
          <w:szCs w:val="22"/>
          <w:shd w:val="clear" w:color="auto" w:fill="FFFF99"/>
          <w:rtl/>
        </w:rPr>
        <w:t>ו</w:t>
      </w:r>
      <w:r w:rsidRPr="003C11DB">
        <w:rPr>
          <w:rStyle w:val="default"/>
          <w:rFonts w:cs="FrankRuehl" w:hint="cs"/>
          <w:vanish/>
          <w:sz w:val="22"/>
          <w:szCs w:val="22"/>
          <w:shd w:val="clear" w:color="auto" w:fill="FFFF99"/>
          <w:rtl/>
        </w:rPr>
        <w:t>ב חברי הגרעין</w:t>
      </w:r>
      <w:r w:rsidRPr="003C11DB">
        <w:rPr>
          <w:rStyle w:val="default"/>
          <w:rFonts w:cs="FrankRuehl" w:hint="cs"/>
          <w:vanish/>
          <w:sz w:val="22"/>
          <w:szCs w:val="22"/>
          <w:u w:val="single"/>
          <w:shd w:val="clear" w:color="auto" w:fill="FFFF99"/>
          <w:rtl/>
        </w:rPr>
        <w:t>, או אם הורה שר הבטחון או מי ששר הבטחון הסמיכו לאשר רשימות של גרעינים התישבותיים, על הרחקתו</w:t>
      </w:r>
      <w:r w:rsidRPr="003C11DB">
        <w:rPr>
          <w:rStyle w:val="default"/>
          <w:rFonts w:cs="FrankRuehl" w:hint="cs"/>
          <w:vanish/>
          <w:sz w:val="22"/>
          <w:szCs w:val="22"/>
          <w:shd w:val="clear" w:color="auto" w:fill="FFFF99"/>
          <w:rtl/>
        </w:rPr>
        <w:t>.</w:t>
      </w:r>
      <w:bookmarkEnd w:id="5"/>
    </w:p>
    <w:p w:rsidR="00164FFC" w:rsidRDefault="00164FFC">
      <w:pPr>
        <w:pStyle w:val="P00"/>
        <w:spacing w:before="72"/>
        <w:ind w:left="0" w:right="1134"/>
        <w:rPr>
          <w:rStyle w:val="default"/>
          <w:rFonts w:cs="FrankRuehl"/>
          <w:rtl/>
        </w:rPr>
      </w:pPr>
    </w:p>
    <w:p w:rsidR="00164FFC" w:rsidRDefault="00164FFC">
      <w:pPr>
        <w:pStyle w:val="P00"/>
        <w:spacing w:before="72"/>
        <w:ind w:left="0" w:right="1134"/>
        <w:rPr>
          <w:rStyle w:val="default"/>
          <w:rFonts w:cs="FrankRuehl"/>
          <w:rtl/>
        </w:rPr>
      </w:pPr>
    </w:p>
    <w:p w:rsidR="00164FFC" w:rsidRDefault="00164FFC">
      <w:pPr>
        <w:pStyle w:val="P00"/>
        <w:spacing w:before="72"/>
        <w:ind w:left="0" w:right="1134"/>
        <w:rPr>
          <w:rStyle w:val="default"/>
          <w:rFonts w:cs="FrankRuehl"/>
          <w:rtl/>
        </w:rPr>
      </w:pPr>
      <w:bookmarkStart w:id="6" w:name="LawPartEnd"/>
    </w:p>
    <w:bookmarkEnd w:id="6"/>
    <w:p w:rsidR="00164FFC" w:rsidRDefault="00164FFC">
      <w:pPr>
        <w:pStyle w:val="P00"/>
        <w:spacing w:before="72"/>
        <w:ind w:left="0" w:right="1134"/>
        <w:rPr>
          <w:rStyle w:val="default"/>
          <w:rFonts w:cs="FrankRuehl"/>
          <w:rtl/>
        </w:rPr>
      </w:pPr>
    </w:p>
    <w:sectPr w:rsidR="00164FFC">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22D6" w:rsidRDefault="008A22D6">
      <w:r>
        <w:separator/>
      </w:r>
    </w:p>
  </w:endnote>
  <w:endnote w:type="continuationSeparator" w:id="0">
    <w:p w:rsidR="008A22D6" w:rsidRDefault="008A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4FFC" w:rsidRDefault="00164F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64FFC" w:rsidRDefault="00164F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64FFC" w:rsidRDefault="00164F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4FFC" w:rsidRDefault="00164F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B5215">
      <w:rPr>
        <w:rFonts w:hAnsi="FrankRuehl" w:cs="FrankRuehl"/>
        <w:noProof/>
        <w:sz w:val="24"/>
        <w:szCs w:val="24"/>
        <w:rtl/>
      </w:rPr>
      <w:t>1</w:t>
    </w:r>
    <w:r>
      <w:rPr>
        <w:rFonts w:hAnsi="FrankRuehl" w:cs="FrankRuehl"/>
        <w:sz w:val="24"/>
        <w:szCs w:val="24"/>
        <w:rtl/>
      </w:rPr>
      <w:fldChar w:fldCharType="end"/>
    </w:r>
  </w:p>
  <w:p w:rsidR="00164FFC" w:rsidRDefault="00164F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64FFC" w:rsidRDefault="00164F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C:\Yael\hakika\Revadim\P199_017.doc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22D6" w:rsidRDefault="008A22D6">
      <w:pPr>
        <w:spacing w:before="60" w:line="240" w:lineRule="auto"/>
        <w:ind w:right="1134"/>
      </w:pPr>
      <w:r>
        <w:separator/>
      </w:r>
    </w:p>
  </w:footnote>
  <w:footnote w:type="continuationSeparator" w:id="0">
    <w:p w:rsidR="008A22D6" w:rsidRDefault="008A22D6">
      <w:r>
        <w:continuationSeparator/>
      </w:r>
    </w:p>
  </w:footnote>
  <w:footnote w:id="1">
    <w:p w:rsidR="00164FFC" w:rsidRDefault="00164F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תש"י מס' 54</w:t>
        </w:r>
      </w:hyperlink>
      <w:r>
        <w:rPr>
          <w:rFonts w:hint="cs"/>
          <w:sz w:val="20"/>
          <w:rtl/>
        </w:rPr>
        <w:t xml:space="preserve"> מיום 12.12.1949 עמ' 283.</w:t>
      </w:r>
    </w:p>
    <w:p w:rsidR="00164FFC" w:rsidRDefault="00164F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בוטלו </w:t>
      </w:r>
      <w:hyperlink r:id="rId2" w:history="1">
        <w:r>
          <w:rPr>
            <w:rStyle w:val="Hyperlink"/>
            <w:rFonts w:hint="cs"/>
            <w:sz w:val="20"/>
            <w:rtl/>
          </w:rPr>
          <w:t>ק"ת תשכ"ז מס' 2114</w:t>
        </w:r>
      </w:hyperlink>
      <w:r>
        <w:rPr>
          <w:rFonts w:hint="cs"/>
          <w:sz w:val="20"/>
          <w:rtl/>
        </w:rPr>
        <w:t xml:space="preserve"> מיום 1.10.1967 ע</w:t>
      </w:r>
      <w:r>
        <w:rPr>
          <w:sz w:val="20"/>
          <w:rtl/>
        </w:rPr>
        <w:t>מ</w:t>
      </w:r>
      <w:r>
        <w:rPr>
          <w:rFonts w:hint="cs"/>
          <w:sz w:val="20"/>
          <w:rtl/>
        </w:rPr>
        <w:t xml:space="preserve">' 3404 בתקנה 14 לתקנות שירות בטחון, תשכ"ז-1967, </w:t>
      </w:r>
      <w:r>
        <w:rPr>
          <w:rFonts w:hint="cs"/>
          <w:b/>
          <w:bCs/>
          <w:sz w:val="20"/>
          <w:rtl/>
        </w:rPr>
        <w:t>למעט תקנות 10 ו-11</w:t>
      </w:r>
      <w:r>
        <w:rPr>
          <w:rFonts w:hint="cs"/>
          <w:sz w:val="20"/>
          <w:rtl/>
        </w:rPr>
        <w:t>.</w:t>
      </w:r>
    </w:p>
    <w:p w:rsidR="00164FFC" w:rsidRDefault="00164FF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3" w:history="1">
        <w:r>
          <w:rPr>
            <w:rStyle w:val="Hyperlink"/>
            <w:sz w:val="20"/>
            <w:rtl/>
          </w:rPr>
          <w:t>ק</w:t>
        </w:r>
        <w:r>
          <w:rPr>
            <w:rStyle w:val="Hyperlink"/>
            <w:rFonts w:hint="cs"/>
            <w:sz w:val="20"/>
            <w:rtl/>
          </w:rPr>
          <w:t>"ת תשל"ב מס'</w:t>
        </w:r>
        <w:r>
          <w:rPr>
            <w:rStyle w:val="Hyperlink"/>
            <w:rFonts w:hint="cs"/>
            <w:sz w:val="20"/>
            <w:rtl/>
          </w:rPr>
          <w:t xml:space="preserve"> </w:t>
        </w:r>
        <w:r>
          <w:rPr>
            <w:rStyle w:val="Hyperlink"/>
            <w:rFonts w:hint="cs"/>
            <w:sz w:val="20"/>
            <w:rtl/>
          </w:rPr>
          <w:t>2803</w:t>
        </w:r>
      </w:hyperlink>
      <w:r>
        <w:rPr>
          <w:rFonts w:hint="cs"/>
          <w:sz w:val="20"/>
          <w:rtl/>
        </w:rPr>
        <w:t xml:space="preserve"> מיום 3.2.1972 עמ' 608 </w:t>
      </w:r>
      <w:r>
        <w:rPr>
          <w:sz w:val="20"/>
          <w:rtl/>
        </w:rPr>
        <w:t>–</w:t>
      </w:r>
      <w:r>
        <w:rPr>
          <w:rFonts w:hint="cs"/>
          <w:sz w:val="20"/>
          <w:rtl/>
        </w:rPr>
        <w:t xml:space="preserve"> תק' תשל"ב-1972.</w:t>
      </w:r>
    </w:p>
    <w:p w:rsidR="00164FFC" w:rsidRDefault="00164FF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sz w:val="20"/>
            <w:rtl/>
          </w:rPr>
          <w:t>ק</w:t>
        </w:r>
        <w:r>
          <w:rPr>
            <w:rStyle w:val="Hyperlink"/>
            <w:rFonts w:hint="cs"/>
            <w:sz w:val="20"/>
            <w:rtl/>
          </w:rPr>
          <w:t>"ת תשנ"</w:t>
        </w:r>
        <w:r>
          <w:rPr>
            <w:rStyle w:val="Hyperlink"/>
            <w:rFonts w:hint="cs"/>
            <w:sz w:val="20"/>
            <w:rtl/>
          </w:rPr>
          <w:t>ו</w:t>
        </w:r>
        <w:r>
          <w:rPr>
            <w:rStyle w:val="Hyperlink"/>
            <w:rFonts w:hint="cs"/>
            <w:sz w:val="20"/>
            <w:rtl/>
          </w:rPr>
          <w:t xml:space="preserve"> מס' 5730</w:t>
        </w:r>
      </w:hyperlink>
      <w:r>
        <w:rPr>
          <w:rFonts w:hint="cs"/>
          <w:sz w:val="20"/>
          <w:rtl/>
        </w:rPr>
        <w:t xml:space="preserve"> מיום 11.1.1996 עמ' 426 </w:t>
      </w:r>
      <w:r>
        <w:rPr>
          <w:sz w:val="20"/>
          <w:rtl/>
        </w:rPr>
        <w:t>–</w:t>
      </w:r>
      <w:r>
        <w:rPr>
          <w:rFonts w:hint="cs"/>
          <w:sz w:val="20"/>
          <w:rtl/>
        </w:rPr>
        <w:t xml:space="preserve"> תק' תשנ"ו-1996.</w:t>
      </w:r>
    </w:p>
    <w:p w:rsidR="00812BE3" w:rsidRDefault="00812BE3" w:rsidP="00812B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F048D5" w:rsidRPr="00812BE3">
          <w:rPr>
            <w:rStyle w:val="Hyperlink"/>
            <w:rFonts w:hint="cs"/>
            <w:sz w:val="20"/>
            <w:rtl/>
          </w:rPr>
          <w:t>ק"ת תשס"ט מס' 6767</w:t>
        </w:r>
      </w:hyperlink>
      <w:r w:rsidR="00F048D5">
        <w:rPr>
          <w:rFonts w:hint="cs"/>
          <w:sz w:val="20"/>
          <w:rtl/>
        </w:rPr>
        <w:t xml:space="preserve"> מיום 23.3.2009 עמ' 664 </w:t>
      </w:r>
      <w:r w:rsidR="00F048D5">
        <w:rPr>
          <w:sz w:val="20"/>
          <w:rtl/>
        </w:rPr>
        <w:t>–</w:t>
      </w:r>
      <w:r w:rsidR="00F048D5">
        <w:rPr>
          <w:rFonts w:hint="cs"/>
          <w:sz w:val="20"/>
          <w:rtl/>
        </w:rPr>
        <w:t xml:space="preserve"> תק' תשס"ט-2009.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4FFC" w:rsidRDefault="00164F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תש"י–1949</w:t>
    </w:r>
  </w:p>
  <w:p w:rsidR="00164FFC" w:rsidRDefault="00164F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4FFC" w:rsidRDefault="00164FF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4FFC" w:rsidRDefault="00164F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בטחון, תש"י</w:t>
    </w:r>
    <w:r>
      <w:rPr>
        <w:rFonts w:hAnsi="FrankRuehl" w:cs="FrankRuehl" w:hint="cs"/>
        <w:color w:val="000000"/>
        <w:sz w:val="28"/>
        <w:szCs w:val="28"/>
        <w:rtl/>
      </w:rPr>
      <w:t>-</w:t>
    </w:r>
    <w:r>
      <w:rPr>
        <w:rFonts w:hAnsi="FrankRuehl" w:cs="FrankRuehl"/>
        <w:color w:val="000000"/>
        <w:sz w:val="28"/>
        <w:szCs w:val="28"/>
        <w:rtl/>
      </w:rPr>
      <w:t>1949</w:t>
    </w:r>
  </w:p>
  <w:p w:rsidR="00164FFC" w:rsidRDefault="00164F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64FFC" w:rsidRDefault="00164FF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E18"/>
    <w:rsid w:val="00164FFC"/>
    <w:rsid w:val="003C11DB"/>
    <w:rsid w:val="00740BDD"/>
    <w:rsid w:val="00812BE3"/>
    <w:rsid w:val="00835E18"/>
    <w:rsid w:val="008A22D6"/>
    <w:rsid w:val="00D3206A"/>
    <w:rsid w:val="00DD1DFC"/>
    <w:rsid w:val="00EB5215"/>
    <w:rsid w:val="00F048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AB3B9AB-DA21-4165-B2EE-F43FB317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67.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76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2803.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730.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2803.pdf" TargetMode="External"/><Relationship Id="rId2" Type="http://schemas.openxmlformats.org/officeDocument/2006/relationships/hyperlink" Target="http://www.nevo.co.il/Law_word/law06/TAK-2114.pdf" TargetMode="External"/><Relationship Id="rId1" Type="http://schemas.openxmlformats.org/officeDocument/2006/relationships/hyperlink" Target="http://www.nevo.co.il/Law_word/law06/TAK-0054.pdf" TargetMode="External"/><Relationship Id="rId5" Type="http://schemas.openxmlformats.org/officeDocument/2006/relationships/hyperlink" Target="http://www.nevo.co.il/Law_word/law06/tak-6767.pdf" TargetMode="External"/><Relationship Id="rId4" Type="http://schemas.openxmlformats.org/officeDocument/2006/relationships/hyperlink" Target="http://www.nevo.co.il/Law_word/law06/TAK-57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199</vt:lpstr>
    </vt:vector>
  </TitlesOfParts>
  <Company/>
  <LinksUpToDate>false</LinksUpToDate>
  <CharactersWithSpaces>3679</CharactersWithSpaces>
  <SharedDoc>false</SharedDoc>
  <HLinks>
    <vt:vector size="66" baseType="variant">
      <vt:variant>
        <vt:i4>8323087</vt:i4>
      </vt:variant>
      <vt:variant>
        <vt:i4>21</vt:i4>
      </vt:variant>
      <vt:variant>
        <vt:i4>0</vt:i4>
      </vt:variant>
      <vt:variant>
        <vt:i4>5</vt:i4>
      </vt:variant>
      <vt:variant>
        <vt:lpwstr>http://www.nevo.co.il/Law_word/law06/TAK-5730.pdf</vt:lpwstr>
      </vt:variant>
      <vt:variant>
        <vt:lpwstr/>
      </vt:variant>
      <vt:variant>
        <vt:i4>7929864</vt:i4>
      </vt:variant>
      <vt:variant>
        <vt:i4>18</vt:i4>
      </vt:variant>
      <vt:variant>
        <vt:i4>0</vt:i4>
      </vt:variant>
      <vt:variant>
        <vt:i4>5</vt:i4>
      </vt:variant>
      <vt:variant>
        <vt:lpwstr>http://www.nevo.co.il/Law_word/law06/TAK-6767.pdf</vt:lpwstr>
      </vt:variant>
      <vt:variant>
        <vt:lpwstr/>
      </vt:variant>
      <vt:variant>
        <vt:i4>7929864</vt:i4>
      </vt:variant>
      <vt:variant>
        <vt:i4>15</vt:i4>
      </vt:variant>
      <vt:variant>
        <vt:i4>0</vt:i4>
      </vt:variant>
      <vt:variant>
        <vt:i4>5</vt:i4>
      </vt:variant>
      <vt:variant>
        <vt:lpwstr>http://www.nevo.co.il/Law_word/law06/TAK-6767.pdf</vt:lpwstr>
      </vt:variant>
      <vt:variant>
        <vt:lpwstr/>
      </vt:variant>
      <vt:variant>
        <vt:i4>8060931</vt:i4>
      </vt:variant>
      <vt:variant>
        <vt:i4>12</vt:i4>
      </vt:variant>
      <vt:variant>
        <vt:i4>0</vt:i4>
      </vt:variant>
      <vt:variant>
        <vt:i4>5</vt:i4>
      </vt:variant>
      <vt:variant>
        <vt:lpwstr>http://www.nevo.co.il/Law_word/law06/TAK-2803.pdf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7929864</vt:i4>
      </vt:variant>
      <vt:variant>
        <vt:i4>12</vt:i4>
      </vt:variant>
      <vt:variant>
        <vt:i4>0</vt:i4>
      </vt:variant>
      <vt:variant>
        <vt:i4>5</vt:i4>
      </vt:variant>
      <vt:variant>
        <vt:lpwstr>http://www.nevo.co.il/Law_word/law06/tak-6767.pdf</vt:lpwstr>
      </vt:variant>
      <vt:variant>
        <vt:lpwstr/>
      </vt:variant>
      <vt:variant>
        <vt:i4>8323087</vt:i4>
      </vt:variant>
      <vt:variant>
        <vt:i4>9</vt:i4>
      </vt:variant>
      <vt:variant>
        <vt:i4>0</vt:i4>
      </vt:variant>
      <vt:variant>
        <vt:i4>5</vt:i4>
      </vt:variant>
      <vt:variant>
        <vt:lpwstr>http://www.nevo.co.il/Law_word/law06/TAK-5730.pdf</vt:lpwstr>
      </vt:variant>
      <vt:variant>
        <vt:lpwstr/>
      </vt:variant>
      <vt:variant>
        <vt:i4>8060931</vt:i4>
      </vt:variant>
      <vt:variant>
        <vt:i4>6</vt:i4>
      </vt:variant>
      <vt:variant>
        <vt:i4>0</vt:i4>
      </vt:variant>
      <vt:variant>
        <vt:i4>5</vt:i4>
      </vt:variant>
      <vt:variant>
        <vt:lpwstr>http://www.nevo.co.il/Law_word/law06/TAK-2803.pdf</vt:lpwstr>
      </vt:variant>
      <vt:variant>
        <vt:lpwstr/>
      </vt:variant>
      <vt:variant>
        <vt:i4>7995405</vt:i4>
      </vt:variant>
      <vt:variant>
        <vt:i4>3</vt:i4>
      </vt:variant>
      <vt:variant>
        <vt:i4>0</vt:i4>
      </vt:variant>
      <vt:variant>
        <vt:i4>5</vt:i4>
      </vt:variant>
      <vt:variant>
        <vt:lpwstr>http://www.nevo.co.il/Law_word/law06/TAK-2114.pdf</vt:lpwstr>
      </vt:variant>
      <vt:variant>
        <vt:lpwstr/>
      </vt:variant>
      <vt:variant>
        <vt:i4>8126476</vt:i4>
      </vt:variant>
      <vt:variant>
        <vt:i4>0</vt:i4>
      </vt:variant>
      <vt:variant>
        <vt:i4>0</vt:i4>
      </vt:variant>
      <vt:variant>
        <vt:i4>5</vt:i4>
      </vt:variant>
      <vt:variant>
        <vt:lpwstr>http://www.nevo.co.il/Law_word/law06/TAK-0054.pdf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199</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תקנות שירות בטחון, תש"י-1949</vt:lpwstr>
  </property>
  <property fmtid="{D5CDD505-2E9C-101B-9397-08002B2CF9AE}" pid="5" name="LAWNUMBER">
    <vt:lpwstr>0017</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שירות בטחון</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1">
    <vt:lpwstr>http://www.nevo.co.il/Law_word/law06/tak-6767.pdf;‎רשומות - תקנות כלליות#ק"ת תשס"ט מס' 6767 ‏‏#מיום 23.3.2009 עמ' 664 – תק' תשס"ט-2009‏</vt:lpwstr>
  </property>
  <property fmtid="{D5CDD505-2E9C-101B-9397-08002B2CF9AE}" pid="49" name="LINKK2">
    <vt:lpwstr/>
  </property>
  <property fmtid="{D5CDD505-2E9C-101B-9397-08002B2CF9AE}" pid="50" name="LINKK3">
    <vt:lpwstr/>
  </property>
  <property fmtid="{D5CDD505-2E9C-101B-9397-08002B2CF9AE}" pid="51" name="LINKK4">
    <vt:lpwstr/>
  </property>
  <property fmtid="{D5CDD505-2E9C-101B-9397-08002B2CF9AE}" pid="52" name="LINKK5">
    <vt:lpwstr/>
  </property>
  <property fmtid="{D5CDD505-2E9C-101B-9397-08002B2CF9AE}" pid="53" name="LINKK6">
    <vt:lpwstr/>
  </property>
  <property fmtid="{D5CDD505-2E9C-101B-9397-08002B2CF9AE}" pid="54" name="LINKK7">
    <vt:lpwstr/>
  </property>
  <property fmtid="{D5CDD505-2E9C-101B-9397-08002B2CF9AE}" pid="55" name="LINKK8">
    <vt:lpwstr/>
  </property>
  <property fmtid="{D5CDD505-2E9C-101B-9397-08002B2CF9AE}" pid="56" name="LINKK9">
    <vt:lpwstr/>
  </property>
  <property fmtid="{D5CDD505-2E9C-101B-9397-08002B2CF9AE}" pid="57" name="LINKK10">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