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F0742" w:rsidRDefault="003F0742">
      <w:pPr>
        <w:pStyle w:val="big-header"/>
        <w:ind w:left="0" w:right="1134"/>
        <w:rPr>
          <w:rFonts w:hint="cs"/>
          <w:rtl/>
        </w:rPr>
      </w:pPr>
      <w:r>
        <w:rPr>
          <w:rtl/>
        </w:rPr>
        <w:t>תקנות שירות ב</w:t>
      </w:r>
      <w:r w:rsidR="00A61B6E">
        <w:rPr>
          <w:rFonts w:hint="cs"/>
          <w:rtl/>
        </w:rPr>
        <w:t>י</w:t>
      </w:r>
      <w:r>
        <w:rPr>
          <w:rtl/>
        </w:rPr>
        <w:t>טחון (</w:t>
      </w:r>
      <w:r w:rsidR="00A61B6E">
        <w:rPr>
          <w:rFonts w:hint="cs"/>
          <w:rtl/>
        </w:rPr>
        <w:t>הרכב הוועדה לבחינת פטור מטעמי הכרה דתית וסדרי הדין בה) (הוראת שעה), תשע"ח-2018</w:t>
      </w:r>
    </w:p>
    <w:p w:rsidR="00DF13A3" w:rsidRPr="00DF13A3" w:rsidRDefault="00DF13A3" w:rsidP="00DF13A3">
      <w:pPr>
        <w:spacing w:line="320" w:lineRule="auto"/>
        <w:jc w:val="left"/>
        <w:rPr>
          <w:rFonts w:cs="FrankRuehl"/>
          <w:szCs w:val="26"/>
          <w:rtl/>
        </w:rPr>
      </w:pPr>
    </w:p>
    <w:p w:rsidR="00DF13A3" w:rsidRPr="00DF13A3" w:rsidRDefault="00DF13A3" w:rsidP="00DF13A3">
      <w:pPr>
        <w:spacing w:line="320" w:lineRule="auto"/>
        <w:jc w:val="left"/>
        <w:rPr>
          <w:rFonts w:cs="Miriam" w:hint="cs"/>
          <w:szCs w:val="22"/>
          <w:rtl/>
        </w:rPr>
      </w:pPr>
      <w:r w:rsidRPr="00DF13A3">
        <w:rPr>
          <w:rFonts w:cs="Miriam"/>
          <w:szCs w:val="22"/>
          <w:rtl/>
        </w:rPr>
        <w:t>בטחון</w:t>
      </w:r>
      <w:r w:rsidRPr="00DF13A3">
        <w:rPr>
          <w:rFonts w:cs="FrankRuehl"/>
          <w:szCs w:val="26"/>
          <w:rtl/>
        </w:rPr>
        <w:t xml:space="preserve"> – צה"ל – שירות בטחון – פטור</w:t>
      </w:r>
    </w:p>
    <w:p w:rsidR="003F0742" w:rsidRDefault="003F0742">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E56E6C" w:rsidRPr="00E56E6C" w:rsidTr="00E56E6C">
        <w:tblPrEx>
          <w:tblCellMar>
            <w:top w:w="0" w:type="dxa"/>
            <w:bottom w:w="0" w:type="dxa"/>
          </w:tblCellMar>
        </w:tblPrEx>
        <w:tc>
          <w:tcPr>
            <w:tcW w:w="1247" w:type="dxa"/>
          </w:tcPr>
          <w:p w:rsidR="00E56E6C" w:rsidRPr="00E56E6C" w:rsidRDefault="00E56E6C" w:rsidP="00E56E6C">
            <w:pPr>
              <w:spacing w:line="240" w:lineRule="auto"/>
              <w:jc w:val="left"/>
              <w:rPr>
                <w:rFonts w:cs="Frankruhel"/>
                <w:sz w:val="24"/>
                <w:rtl/>
              </w:rPr>
            </w:pPr>
            <w:r>
              <w:rPr>
                <w:rFonts w:cs="Times New Roman"/>
                <w:sz w:val="24"/>
                <w:rtl/>
              </w:rPr>
              <w:t xml:space="preserve">סעיף 1 </w:t>
            </w:r>
          </w:p>
        </w:tc>
        <w:tc>
          <w:tcPr>
            <w:tcW w:w="5669" w:type="dxa"/>
          </w:tcPr>
          <w:p w:rsidR="00E56E6C" w:rsidRPr="00E56E6C" w:rsidRDefault="00E56E6C" w:rsidP="00E56E6C">
            <w:pPr>
              <w:spacing w:line="240" w:lineRule="auto"/>
              <w:jc w:val="left"/>
              <w:rPr>
                <w:rFonts w:cs="Frankruhel"/>
                <w:sz w:val="24"/>
                <w:rtl/>
              </w:rPr>
            </w:pPr>
            <w:r>
              <w:rPr>
                <w:rFonts w:cs="Times New Roman"/>
                <w:sz w:val="24"/>
                <w:rtl/>
              </w:rPr>
              <w:t>הרכב הוועדה</w:t>
            </w:r>
          </w:p>
        </w:tc>
        <w:tc>
          <w:tcPr>
            <w:tcW w:w="567" w:type="dxa"/>
          </w:tcPr>
          <w:p w:rsidR="00E56E6C" w:rsidRPr="00E56E6C" w:rsidRDefault="00E56E6C" w:rsidP="00E56E6C">
            <w:pPr>
              <w:spacing w:line="240" w:lineRule="auto"/>
              <w:jc w:val="left"/>
              <w:rPr>
                <w:rStyle w:val="Hyperlink"/>
                <w:rtl/>
              </w:rPr>
            </w:pPr>
            <w:hyperlink w:anchor="Seif1" w:tooltip="הרכב הוועדה" w:history="1">
              <w:r w:rsidRPr="00E56E6C">
                <w:rPr>
                  <w:rStyle w:val="Hyperlink"/>
                </w:rPr>
                <w:t>Go</w:t>
              </w:r>
            </w:hyperlink>
          </w:p>
        </w:tc>
        <w:tc>
          <w:tcPr>
            <w:tcW w:w="850" w:type="dxa"/>
          </w:tcPr>
          <w:p w:rsidR="00E56E6C" w:rsidRPr="00E56E6C" w:rsidRDefault="00E56E6C" w:rsidP="00E56E6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E56E6C" w:rsidRPr="00E56E6C" w:rsidTr="00E56E6C">
        <w:tblPrEx>
          <w:tblCellMar>
            <w:top w:w="0" w:type="dxa"/>
            <w:bottom w:w="0" w:type="dxa"/>
          </w:tblCellMar>
        </w:tblPrEx>
        <w:tc>
          <w:tcPr>
            <w:tcW w:w="1247" w:type="dxa"/>
          </w:tcPr>
          <w:p w:rsidR="00E56E6C" w:rsidRPr="00E56E6C" w:rsidRDefault="00E56E6C" w:rsidP="00E56E6C">
            <w:pPr>
              <w:spacing w:line="240" w:lineRule="auto"/>
              <w:jc w:val="left"/>
              <w:rPr>
                <w:rFonts w:cs="Frankruhel"/>
                <w:sz w:val="24"/>
                <w:rtl/>
              </w:rPr>
            </w:pPr>
            <w:r>
              <w:rPr>
                <w:rFonts w:cs="Times New Roman"/>
                <w:sz w:val="24"/>
                <w:rtl/>
              </w:rPr>
              <w:t xml:space="preserve">סעיף 2 </w:t>
            </w:r>
          </w:p>
        </w:tc>
        <w:tc>
          <w:tcPr>
            <w:tcW w:w="5669" w:type="dxa"/>
          </w:tcPr>
          <w:p w:rsidR="00E56E6C" w:rsidRPr="00E56E6C" w:rsidRDefault="00E56E6C" w:rsidP="00E56E6C">
            <w:pPr>
              <w:spacing w:line="240" w:lineRule="auto"/>
              <w:jc w:val="left"/>
              <w:rPr>
                <w:rFonts w:cs="Frankruhel"/>
                <w:sz w:val="24"/>
                <w:rtl/>
              </w:rPr>
            </w:pPr>
            <w:r>
              <w:rPr>
                <w:rFonts w:cs="Times New Roman"/>
                <w:sz w:val="24"/>
                <w:rtl/>
              </w:rPr>
              <w:t>ניגוד עניינים</w:t>
            </w:r>
          </w:p>
        </w:tc>
        <w:tc>
          <w:tcPr>
            <w:tcW w:w="567" w:type="dxa"/>
          </w:tcPr>
          <w:p w:rsidR="00E56E6C" w:rsidRPr="00E56E6C" w:rsidRDefault="00E56E6C" w:rsidP="00E56E6C">
            <w:pPr>
              <w:spacing w:line="240" w:lineRule="auto"/>
              <w:jc w:val="left"/>
              <w:rPr>
                <w:rStyle w:val="Hyperlink"/>
                <w:rtl/>
              </w:rPr>
            </w:pPr>
            <w:hyperlink w:anchor="Seif2" w:tooltip="ניגוד עניינים" w:history="1">
              <w:r w:rsidRPr="00E56E6C">
                <w:rPr>
                  <w:rStyle w:val="Hyperlink"/>
                </w:rPr>
                <w:t>Go</w:t>
              </w:r>
            </w:hyperlink>
          </w:p>
        </w:tc>
        <w:tc>
          <w:tcPr>
            <w:tcW w:w="850" w:type="dxa"/>
          </w:tcPr>
          <w:p w:rsidR="00E56E6C" w:rsidRPr="00E56E6C" w:rsidRDefault="00E56E6C" w:rsidP="00E56E6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E56E6C" w:rsidRPr="00E56E6C" w:rsidTr="00E56E6C">
        <w:tblPrEx>
          <w:tblCellMar>
            <w:top w:w="0" w:type="dxa"/>
            <w:bottom w:w="0" w:type="dxa"/>
          </w:tblCellMar>
        </w:tblPrEx>
        <w:tc>
          <w:tcPr>
            <w:tcW w:w="1247" w:type="dxa"/>
          </w:tcPr>
          <w:p w:rsidR="00E56E6C" w:rsidRPr="00E56E6C" w:rsidRDefault="00E56E6C" w:rsidP="00E56E6C">
            <w:pPr>
              <w:spacing w:line="240" w:lineRule="auto"/>
              <w:jc w:val="left"/>
              <w:rPr>
                <w:rFonts w:cs="Frankruhel"/>
                <w:sz w:val="24"/>
                <w:rtl/>
              </w:rPr>
            </w:pPr>
            <w:r>
              <w:rPr>
                <w:rFonts w:cs="Times New Roman"/>
                <w:sz w:val="24"/>
                <w:rtl/>
              </w:rPr>
              <w:t xml:space="preserve">סעיף 3 </w:t>
            </w:r>
          </w:p>
        </w:tc>
        <w:tc>
          <w:tcPr>
            <w:tcW w:w="5669" w:type="dxa"/>
          </w:tcPr>
          <w:p w:rsidR="00E56E6C" w:rsidRPr="00E56E6C" w:rsidRDefault="00E56E6C" w:rsidP="00E56E6C">
            <w:pPr>
              <w:spacing w:line="240" w:lineRule="auto"/>
              <w:jc w:val="left"/>
              <w:rPr>
                <w:rFonts w:cs="Frankruhel"/>
                <w:sz w:val="24"/>
                <w:rtl/>
              </w:rPr>
            </w:pPr>
            <w:r>
              <w:rPr>
                <w:rFonts w:cs="Times New Roman"/>
                <w:sz w:val="24"/>
                <w:rtl/>
              </w:rPr>
              <w:t>הרכב חסר</w:t>
            </w:r>
          </w:p>
        </w:tc>
        <w:tc>
          <w:tcPr>
            <w:tcW w:w="567" w:type="dxa"/>
          </w:tcPr>
          <w:p w:rsidR="00E56E6C" w:rsidRPr="00E56E6C" w:rsidRDefault="00E56E6C" w:rsidP="00E56E6C">
            <w:pPr>
              <w:spacing w:line="240" w:lineRule="auto"/>
              <w:jc w:val="left"/>
              <w:rPr>
                <w:rStyle w:val="Hyperlink"/>
                <w:rtl/>
              </w:rPr>
            </w:pPr>
            <w:hyperlink w:anchor="Seif3" w:tooltip="הרכב חסר" w:history="1">
              <w:r w:rsidRPr="00E56E6C">
                <w:rPr>
                  <w:rStyle w:val="Hyperlink"/>
                </w:rPr>
                <w:t>Go</w:t>
              </w:r>
            </w:hyperlink>
          </w:p>
        </w:tc>
        <w:tc>
          <w:tcPr>
            <w:tcW w:w="850" w:type="dxa"/>
          </w:tcPr>
          <w:p w:rsidR="00E56E6C" w:rsidRPr="00E56E6C" w:rsidRDefault="00E56E6C" w:rsidP="00E56E6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E56E6C" w:rsidRPr="00E56E6C" w:rsidTr="00E56E6C">
        <w:tblPrEx>
          <w:tblCellMar>
            <w:top w:w="0" w:type="dxa"/>
            <w:bottom w:w="0" w:type="dxa"/>
          </w:tblCellMar>
        </w:tblPrEx>
        <w:tc>
          <w:tcPr>
            <w:tcW w:w="1247" w:type="dxa"/>
          </w:tcPr>
          <w:p w:rsidR="00E56E6C" w:rsidRPr="00E56E6C" w:rsidRDefault="00E56E6C" w:rsidP="00E56E6C">
            <w:pPr>
              <w:spacing w:line="240" w:lineRule="auto"/>
              <w:jc w:val="left"/>
              <w:rPr>
                <w:rFonts w:cs="Frankruhel"/>
                <w:sz w:val="24"/>
                <w:rtl/>
              </w:rPr>
            </w:pPr>
            <w:r>
              <w:rPr>
                <w:rFonts w:cs="Times New Roman"/>
                <w:sz w:val="24"/>
                <w:rtl/>
              </w:rPr>
              <w:t xml:space="preserve">סעיף 4 </w:t>
            </w:r>
          </w:p>
        </w:tc>
        <w:tc>
          <w:tcPr>
            <w:tcW w:w="5669" w:type="dxa"/>
          </w:tcPr>
          <w:p w:rsidR="00E56E6C" w:rsidRPr="00E56E6C" w:rsidRDefault="00E56E6C" w:rsidP="00E56E6C">
            <w:pPr>
              <w:spacing w:line="240" w:lineRule="auto"/>
              <w:jc w:val="left"/>
              <w:rPr>
                <w:rFonts w:cs="Frankruhel"/>
                <w:sz w:val="24"/>
                <w:rtl/>
              </w:rPr>
            </w:pPr>
            <w:r>
              <w:rPr>
                <w:rFonts w:cs="Times New Roman"/>
                <w:sz w:val="24"/>
                <w:rtl/>
              </w:rPr>
              <w:t>בקשה לביטול הפטור</w:t>
            </w:r>
          </w:p>
        </w:tc>
        <w:tc>
          <w:tcPr>
            <w:tcW w:w="567" w:type="dxa"/>
          </w:tcPr>
          <w:p w:rsidR="00E56E6C" w:rsidRPr="00E56E6C" w:rsidRDefault="00E56E6C" w:rsidP="00E56E6C">
            <w:pPr>
              <w:spacing w:line="240" w:lineRule="auto"/>
              <w:jc w:val="left"/>
              <w:rPr>
                <w:rStyle w:val="Hyperlink"/>
                <w:rtl/>
              </w:rPr>
            </w:pPr>
            <w:hyperlink w:anchor="Seif4" w:tooltip="בקשה לביטול הפטור" w:history="1">
              <w:r w:rsidRPr="00E56E6C">
                <w:rPr>
                  <w:rStyle w:val="Hyperlink"/>
                </w:rPr>
                <w:t>Go</w:t>
              </w:r>
            </w:hyperlink>
          </w:p>
        </w:tc>
        <w:tc>
          <w:tcPr>
            <w:tcW w:w="850" w:type="dxa"/>
          </w:tcPr>
          <w:p w:rsidR="00E56E6C" w:rsidRPr="00E56E6C" w:rsidRDefault="00E56E6C" w:rsidP="00E56E6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E56E6C" w:rsidRPr="00E56E6C" w:rsidTr="00E56E6C">
        <w:tblPrEx>
          <w:tblCellMar>
            <w:top w:w="0" w:type="dxa"/>
            <w:bottom w:w="0" w:type="dxa"/>
          </w:tblCellMar>
        </w:tblPrEx>
        <w:tc>
          <w:tcPr>
            <w:tcW w:w="1247" w:type="dxa"/>
          </w:tcPr>
          <w:p w:rsidR="00E56E6C" w:rsidRPr="00E56E6C" w:rsidRDefault="00E56E6C" w:rsidP="00E56E6C">
            <w:pPr>
              <w:spacing w:line="240" w:lineRule="auto"/>
              <w:jc w:val="left"/>
              <w:rPr>
                <w:rFonts w:cs="Frankruhel"/>
                <w:sz w:val="24"/>
                <w:rtl/>
              </w:rPr>
            </w:pPr>
            <w:r>
              <w:rPr>
                <w:rFonts w:cs="Times New Roman"/>
                <w:sz w:val="24"/>
                <w:rtl/>
              </w:rPr>
              <w:t xml:space="preserve">סעיף 5 </w:t>
            </w:r>
          </w:p>
        </w:tc>
        <w:tc>
          <w:tcPr>
            <w:tcW w:w="5669" w:type="dxa"/>
          </w:tcPr>
          <w:p w:rsidR="00E56E6C" w:rsidRPr="00E56E6C" w:rsidRDefault="00E56E6C" w:rsidP="00E56E6C">
            <w:pPr>
              <w:spacing w:line="240" w:lineRule="auto"/>
              <w:jc w:val="left"/>
              <w:rPr>
                <w:rFonts w:cs="Frankruhel"/>
                <w:sz w:val="24"/>
                <w:rtl/>
              </w:rPr>
            </w:pPr>
            <w:r>
              <w:rPr>
                <w:rFonts w:cs="Times New Roman"/>
                <w:sz w:val="24"/>
                <w:rtl/>
              </w:rPr>
              <w:t>הזמנת הצדדים לדיון</w:t>
            </w:r>
          </w:p>
        </w:tc>
        <w:tc>
          <w:tcPr>
            <w:tcW w:w="567" w:type="dxa"/>
          </w:tcPr>
          <w:p w:rsidR="00E56E6C" w:rsidRPr="00E56E6C" w:rsidRDefault="00E56E6C" w:rsidP="00E56E6C">
            <w:pPr>
              <w:spacing w:line="240" w:lineRule="auto"/>
              <w:jc w:val="left"/>
              <w:rPr>
                <w:rStyle w:val="Hyperlink"/>
                <w:rtl/>
              </w:rPr>
            </w:pPr>
            <w:hyperlink w:anchor="Seif5" w:tooltip="הזמנת הצדדים לדיון" w:history="1">
              <w:r w:rsidRPr="00E56E6C">
                <w:rPr>
                  <w:rStyle w:val="Hyperlink"/>
                </w:rPr>
                <w:t>Go</w:t>
              </w:r>
            </w:hyperlink>
          </w:p>
        </w:tc>
        <w:tc>
          <w:tcPr>
            <w:tcW w:w="850" w:type="dxa"/>
          </w:tcPr>
          <w:p w:rsidR="00E56E6C" w:rsidRPr="00E56E6C" w:rsidRDefault="00E56E6C" w:rsidP="00E56E6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E56E6C" w:rsidRPr="00E56E6C" w:rsidTr="00E56E6C">
        <w:tblPrEx>
          <w:tblCellMar>
            <w:top w:w="0" w:type="dxa"/>
            <w:bottom w:w="0" w:type="dxa"/>
          </w:tblCellMar>
        </w:tblPrEx>
        <w:tc>
          <w:tcPr>
            <w:tcW w:w="1247" w:type="dxa"/>
          </w:tcPr>
          <w:p w:rsidR="00E56E6C" w:rsidRPr="00E56E6C" w:rsidRDefault="00E56E6C" w:rsidP="00E56E6C">
            <w:pPr>
              <w:spacing w:line="240" w:lineRule="auto"/>
              <w:jc w:val="left"/>
              <w:rPr>
                <w:rFonts w:cs="Frankruhel"/>
                <w:sz w:val="24"/>
                <w:rtl/>
              </w:rPr>
            </w:pPr>
            <w:r>
              <w:rPr>
                <w:rFonts w:cs="Times New Roman"/>
                <w:sz w:val="24"/>
                <w:rtl/>
              </w:rPr>
              <w:t xml:space="preserve">סעיף 6 </w:t>
            </w:r>
          </w:p>
        </w:tc>
        <w:tc>
          <w:tcPr>
            <w:tcW w:w="5669" w:type="dxa"/>
          </w:tcPr>
          <w:p w:rsidR="00E56E6C" w:rsidRPr="00E56E6C" w:rsidRDefault="00E56E6C" w:rsidP="00E56E6C">
            <w:pPr>
              <w:spacing w:line="240" w:lineRule="auto"/>
              <w:jc w:val="left"/>
              <w:rPr>
                <w:rFonts w:cs="Frankruhel"/>
                <w:sz w:val="24"/>
                <w:rtl/>
              </w:rPr>
            </w:pPr>
            <w:r>
              <w:rPr>
                <w:rFonts w:cs="Times New Roman"/>
                <w:sz w:val="24"/>
                <w:rtl/>
              </w:rPr>
              <w:t>כתב תשובה</w:t>
            </w:r>
          </w:p>
        </w:tc>
        <w:tc>
          <w:tcPr>
            <w:tcW w:w="567" w:type="dxa"/>
          </w:tcPr>
          <w:p w:rsidR="00E56E6C" w:rsidRPr="00E56E6C" w:rsidRDefault="00E56E6C" w:rsidP="00E56E6C">
            <w:pPr>
              <w:spacing w:line="240" w:lineRule="auto"/>
              <w:jc w:val="left"/>
              <w:rPr>
                <w:rStyle w:val="Hyperlink"/>
                <w:rtl/>
              </w:rPr>
            </w:pPr>
            <w:hyperlink w:anchor="Seif6" w:tooltip="כתב תשובה" w:history="1">
              <w:r w:rsidRPr="00E56E6C">
                <w:rPr>
                  <w:rStyle w:val="Hyperlink"/>
                </w:rPr>
                <w:t>Go</w:t>
              </w:r>
            </w:hyperlink>
          </w:p>
        </w:tc>
        <w:tc>
          <w:tcPr>
            <w:tcW w:w="850" w:type="dxa"/>
          </w:tcPr>
          <w:p w:rsidR="00E56E6C" w:rsidRPr="00E56E6C" w:rsidRDefault="00E56E6C" w:rsidP="00E56E6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E56E6C" w:rsidRPr="00E56E6C" w:rsidTr="00E56E6C">
        <w:tblPrEx>
          <w:tblCellMar>
            <w:top w:w="0" w:type="dxa"/>
            <w:bottom w:w="0" w:type="dxa"/>
          </w:tblCellMar>
        </w:tblPrEx>
        <w:tc>
          <w:tcPr>
            <w:tcW w:w="1247" w:type="dxa"/>
          </w:tcPr>
          <w:p w:rsidR="00E56E6C" w:rsidRPr="00E56E6C" w:rsidRDefault="00E56E6C" w:rsidP="00E56E6C">
            <w:pPr>
              <w:spacing w:line="240" w:lineRule="auto"/>
              <w:jc w:val="left"/>
              <w:rPr>
                <w:rFonts w:cs="Frankruhel"/>
                <w:sz w:val="24"/>
                <w:rtl/>
              </w:rPr>
            </w:pPr>
            <w:r>
              <w:rPr>
                <w:rFonts w:cs="Times New Roman"/>
                <w:sz w:val="24"/>
                <w:rtl/>
              </w:rPr>
              <w:t xml:space="preserve">סעיף 7 </w:t>
            </w:r>
          </w:p>
        </w:tc>
        <w:tc>
          <w:tcPr>
            <w:tcW w:w="5669" w:type="dxa"/>
          </w:tcPr>
          <w:p w:rsidR="00E56E6C" w:rsidRPr="00E56E6C" w:rsidRDefault="00E56E6C" w:rsidP="00E56E6C">
            <w:pPr>
              <w:spacing w:line="240" w:lineRule="auto"/>
              <w:jc w:val="left"/>
              <w:rPr>
                <w:rFonts w:cs="Frankruhel"/>
                <w:sz w:val="24"/>
                <w:rtl/>
              </w:rPr>
            </w:pPr>
            <w:r>
              <w:rPr>
                <w:rFonts w:cs="Times New Roman"/>
                <w:sz w:val="24"/>
                <w:rtl/>
              </w:rPr>
              <w:t>תגובה לכתב התשובה</w:t>
            </w:r>
          </w:p>
        </w:tc>
        <w:tc>
          <w:tcPr>
            <w:tcW w:w="567" w:type="dxa"/>
          </w:tcPr>
          <w:p w:rsidR="00E56E6C" w:rsidRPr="00E56E6C" w:rsidRDefault="00E56E6C" w:rsidP="00E56E6C">
            <w:pPr>
              <w:spacing w:line="240" w:lineRule="auto"/>
              <w:jc w:val="left"/>
              <w:rPr>
                <w:rStyle w:val="Hyperlink"/>
                <w:rtl/>
              </w:rPr>
            </w:pPr>
            <w:hyperlink w:anchor="Seif7" w:tooltip="תגובה לכתב התשובה" w:history="1">
              <w:r w:rsidRPr="00E56E6C">
                <w:rPr>
                  <w:rStyle w:val="Hyperlink"/>
                </w:rPr>
                <w:t>Go</w:t>
              </w:r>
            </w:hyperlink>
          </w:p>
        </w:tc>
        <w:tc>
          <w:tcPr>
            <w:tcW w:w="850" w:type="dxa"/>
          </w:tcPr>
          <w:p w:rsidR="00E56E6C" w:rsidRPr="00E56E6C" w:rsidRDefault="00E56E6C" w:rsidP="00E56E6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E56E6C" w:rsidRPr="00E56E6C" w:rsidTr="00E56E6C">
        <w:tblPrEx>
          <w:tblCellMar>
            <w:top w:w="0" w:type="dxa"/>
            <w:bottom w:w="0" w:type="dxa"/>
          </w:tblCellMar>
        </w:tblPrEx>
        <w:tc>
          <w:tcPr>
            <w:tcW w:w="1247" w:type="dxa"/>
          </w:tcPr>
          <w:p w:rsidR="00E56E6C" w:rsidRPr="00E56E6C" w:rsidRDefault="00E56E6C" w:rsidP="00E56E6C">
            <w:pPr>
              <w:spacing w:line="240" w:lineRule="auto"/>
              <w:jc w:val="left"/>
              <w:rPr>
                <w:rFonts w:cs="Frankruhel"/>
                <w:sz w:val="24"/>
                <w:rtl/>
              </w:rPr>
            </w:pPr>
            <w:r>
              <w:rPr>
                <w:rFonts w:cs="Times New Roman"/>
                <w:sz w:val="24"/>
                <w:rtl/>
              </w:rPr>
              <w:t xml:space="preserve">סעיף 8 </w:t>
            </w:r>
          </w:p>
        </w:tc>
        <w:tc>
          <w:tcPr>
            <w:tcW w:w="5669" w:type="dxa"/>
          </w:tcPr>
          <w:p w:rsidR="00E56E6C" w:rsidRPr="00E56E6C" w:rsidRDefault="00E56E6C" w:rsidP="00E56E6C">
            <w:pPr>
              <w:spacing w:line="240" w:lineRule="auto"/>
              <w:jc w:val="left"/>
              <w:rPr>
                <w:rFonts w:cs="Frankruhel"/>
                <w:sz w:val="24"/>
                <w:rtl/>
              </w:rPr>
            </w:pPr>
            <w:r>
              <w:rPr>
                <w:rFonts w:cs="Times New Roman"/>
                <w:sz w:val="24"/>
                <w:rtl/>
              </w:rPr>
              <w:t>הוראות המצאה</w:t>
            </w:r>
          </w:p>
        </w:tc>
        <w:tc>
          <w:tcPr>
            <w:tcW w:w="567" w:type="dxa"/>
          </w:tcPr>
          <w:p w:rsidR="00E56E6C" w:rsidRPr="00E56E6C" w:rsidRDefault="00E56E6C" w:rsidP="00E56E6C">
            <w:pPr>
              <w:spacing w:line="240" w:lineRule="auto"/>
              <w:jc w:val="left"/>
              <w:rPr>
                <w:rStyle w:val="Hyperlink"/>
                <w:rtl/>
              </w:rPr>
            </w:pPr>
            <w:hyperlink w:anchor="Seif8" w:tooltip="הוראות המצאה" w:history="1">
              <w:r w:rsidRPr="00E56E6C">
                <w:rPr>
                  <w:rStyle w:val="Hyperlink"/>
                </w:rPr>
                <w:t>Go</w:t>
              </w:r>
            </w:hyperlink>
          </w:p>
        </w:tc>
        <w:tc>
          <w:tcPr>
            <w:tcW w:w="850" w:type="dxa"/>
          </w:tcPr>
          <w:p w:rsidR="00E56E6C" w:rsidRPr="00E56E6C" w:rsidRDefault="00E56E6C" w:rsidP="00E56E6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E56E6C" w:rsidRPr="00E56E6C" w:rsidTr="00E56E6C">
        <w:tblPrEx>
          <w:tblCellMar>
            <w:top w:w="0" w:type="dxa"/>
            <w:bottom w:w="0" w:type="dxa"/>
          </w:tblCellMar>
        </w:tblPrEx>
        <w:tc>
          <w:tcPr>
            <w:tcW w:w="1247" w:type="dxa"/>
          </w:tcPr>
          <w:p w:rsidR="00E56E6C" w:rsidRPr="00E56E6C" w:rsidRDefault="00E56E6C" w:rsidP="00E56E6C">
            <w:pPr>
              <w:spacing w:line="240" w:lineRule="auto"/>
              <w:jc w:val="left"/>
              <w:rPr>
                <w:rFonts w:cs="Frankruhel"/>
                <w:sz w:val="24"/>
                <w:rtl/>
              </w:rPr>
            </w:pPr>
            <w:r>
              <w:rPr>
                <w:rFonts w:cs="Times New Roman"/>
                <w:sz w:val="24"/>
                <w:rtl/>
              </w:rPr>
              <w:t xml:space="preserve">סעיף 9 </w:t>
            </w:r>
          </w:p>
        </w:tc>
        <w:tc>
          <w:tcPr>
            <w:tcW w:w="5669" w:type="dxa"/>
          </w:tcPr>
          <w:p w:rsidR="00E56E6C" w:rsidRPr="00E56E6C" w:rsidRDefault="00E56E6C" w:rsidP="00E56E6C">
            <w:pPr>
              <w:spacing w:line="240" w:lineRule="auto"/>
              <w:jc w:val="left"/>
              <w:rPr>
                <w:rFonts w:cs="Frankruhel"/>
                <w:sz w:val="24"/>
                <w:rtl/>
              </w:rPr>
            </w:pPr>
            <w:r>
              <w:rPr>
                <w:rFonts w:cs="Times New Roman"/>
                <w:sz w:val="24"/>
                <w:rtl/>
              </w:rPr>
              <w:t>חזרת הפוקד מהבקשה לביטול הפטור</w:t>
            </w:r>
          </w:p>
        </w:tc>
        <w:tc>
          <w:tcPr>
            <w:tcW w:w="567" w:type="dxa"/>
          </w:tcPr>
          <w:p w:rsidR="00E56E6C" w:rsidRPr="00E56E6C" w:rsidRDefault="00E56E6C" w:rsidP="00E56E6C">
            <w:pPr>
              <w:spacing w:line="240" w:lineRule="auto"/>
              <w:jc w:val="left"/>
              <w:rPr>
                <w:rStyle w:val="Hyperlink"/>
                <w:rtl/>
              </w:rPr>
            </w:pPr>
            <w:hyperlink w:anchor="Seif9" w:tooltip="חזרת הפוקד מהבקשה לביטול הפטור" w:history="1">
              <w:r w:rsidRPr="00E56E6C">
                <w:rPr>
                  <w:rStyle w:val="Hyperlink"/>
                </w:rPr>
                <w:t>Go</w:t>
              </w:r>
            </w:hyperlink>
          </w:p>
        </w:tc>
        <w:tc>
          <w:tcPr>
            <w:tcW w:w="850" w:type="dxa"/>
          </w:tcPr>
          <w:p w:rsidR="00E56E6C" w:rsidRPr="00E56E6C" w:rsidRDefault="00E56E6C" w:rsidP="00E56E6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E56E6C" w:rsidRPr="00E56E6C" w:rsidTr="00E56E6C">
        <w:tblPrEx>
          <w:tblCellMar>
            <w:top w:w="0" w:type="dxa"/>
            <w:bottom w:w="0" w:type="dxa"/>
          </w:tblCellMar>
        </w:tblPrEx>
        <w:tc>
          <w:tcPr>
            <w:tcW w:w="1247" w:type="dxa"/>
          </w:tcPr>
          <w:p w:rsidR="00E56E6C" w:rsidRPr="00E56E6C" w:rsidRDefault="00E56E6C" w:rsidP="00E56E6C">
            <w:pPr>
              <w:spacing w:line="240" w:lineRule="auto"/>
              <w:jc w:val="left"/>
              <w:rPr>
                <w:rFonts w:cs="Frankruhel"/>
                <w:sz w:val="24"/>
                <w:rtl/>
              </w:rPr>
            </w:pPr>
            <w:r>
              <w:rPr>
                <w:rFonts w:cs="Times New Roman"/>
                <w:sz w:val="24"/>
                <w:rtl/>
              </w:rPr>
              <w:t xml:space="preserve">סעיף 10 </w:t>
            </w:r>
          </w:p>
        </w:tc>
        <w:tc>
          <w:tcPr>
            <w:tcW w:w="5669" w:type="dxa"/>
          </w:tcPr>
          <w:p w:rsidR="00E56E6C" w:rsidRPr="00E56E6C" w:rsidRDefault="00E56E6C" w:rsidP="00E56E6C">
            <w:pPr>
              <w:spacing w:line="240" w:lineRule="auto"/>
              <w:jc w:val="left"/>
              <w:rPr>
                <w:rFonts w:cs="Frankruhel"/>
                <w:sz w:val="24"/>
                <w:rtl/>
              </w:rPr>
            </w:pPr>
            <w:r>
              <w:rPr>
                <w:rFonts w:cs="Times New Roman"/>
                <w:sz w:val="24"/>
                <w:rtl/>
              </w:rPr>
              <w:t>טיעון לפני הוועדה</w:t>
            </w:r>
          </w:p>
        </w:tc>
        <w:tc>
          <w:tcPr>
            <w:tcW w:w="567" w:type="dxa"/>
          </w:tcPr>
          <w:p w:rsidR="00E56E6C" w:rsidRPr="00E56E6C" w:rsidRDefault="00E56E6C" w:rsidP="00E56E6C">
            <w:pPr>
              <w:spacing w:line="240" w:lineRule="auto"/>
              <w:jc w:val="left"/>
              <w:rPr>
                <w:rStyle w:val="Hyperlink"/>
                <w:rtl/>
              </w:rPr>
            </w:pPr>
            <w:hyperlink w:anchor="Seif10" w:tooltip="טיעון לפני הוועדה" w:history="1">
              <w:r w:rsidRPr="00E56E6C">
                <w:rPr>
                  <w:rStyle w:val="Hyperlink"/>
                </w:rPr>
                <w:t>Go</w:t>
              </w:r>
            </w:hyperlink>
          </w:p>
        </w:tc>
        <w:tc>
          <w:tcPr>
            <w:tcW w:w="850" w:type="dxa"/>
          </w:tcPr>
          <w:p w:rsidR="00E56E6C" w:rsidRPr="00E56E6C" w:rsidRDefault="00E56E6C" w:rsidP="00E56E6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E56E6C" w:rsidRPr="00E56E6C" w:rsidTr="00E56E6C">
        <w:tblPrEx>
          <w:tblCellMar>
            <w:top w:w="0" w:type="dxa"/>
            <w:bottom w:w="0" w:type="dxa"/>
          </w:tblCellMar>
        </w:tblPrEx>
        <w:tc>
          <w:tcPr>
            <w:tcW w:w="1247" w:type="dxa"/>
          </w:tcPr>
          <w:p w:rsidR="00E56E6C" w:rsidRPr="00E56E6C" w:rsidRDefault="00E56E6C" w:rsidP="00E56E6C">
            <w:pPr>
              <w:spacing w:line="240" w:lineRule="auto"/>
              <w:jc w:val="left"/>
              <w:rPr>
                <w:rFonts w:cs="Frankruhel"/>
                <w:sz w:val="24"/>
                <w:rtl/>
              </w:rPr>
            </w:pPr>
            <w:r>
              <w:rPr>
                <w:rFonts w:cs="Times New Roman"/>
                <w:sz w:val="24"/>
                <w:rtl/>
              </w:rPr>
              <w:t xml:space="preserve">סעיף 11 </w:t>
            </w:r>
          </w:p>
        </w:tc>
        <w:tc>
          <w:tcPr>
            <w:tcW w:w="5669" w:type="dxa"/>
          </w:tcPr>
          <w:p w:rsidR="00E56E6C" w:rsidRPr="00E56E6C" w:rsidRDefault="00E56E6C" w:rsidP="00E56E6C">
            <w:pPr>
              <w:spacing w:line="240" w:lineRule="auto"/>
              <w:jc w:val="left"/>
              <w:rPr>
                <w:rFonts w:cs="Frankruhel"/>
                <w:sz w:val="24"/>
                <w:rtl/>
              </w:rPr>
            </w:pPr>
            <w:r>
              <w:rPr>
                <w:rFonts w:cs="Times New Roman"/>
                <w:sz w:val="24"/>
                <w:rtl/>
              </w:rPr>
              <w:t>מסמכים שלא צורפו</w:t>
            </w:r>
          </w:p>
        </w:tc>
        <w:tc>
          <w:tcPr>
            <w:tcW w:w="567" w:type="dxa"/>
          </w:tcPr>
          <w:p w:rsidR="00E56E6C" w:rsidRPr="00E56E6C" w:rsidRDefault="00E56E6C" w:rsidP="00E56E6C">
            <w:pPr>
              <w:spacing w:line="240" w:lineRule="auto"/>
              <w:jc w:val="left"/>
              <w:rPr>
                <w:rStyle w:val="Hyperlink"/>
                <w:rtl/>
              </w:rPr>
            </w:pPr>
            <w:hyperlink w:anchor="Seif11" w:tooltip="מסמכים שלא צורפו" w:history="1">
              <w:r w:rsidRPr="00E56E6C">
                <w:rPr>
                  <w:rStyle w:val="Hyperlink"/>
                </w:rPr>
                <w:t>Go</w:t>
              </w:r>
            </w:hyperlink>
          </w:p>
        </w:tc>
        <w:tc>
          <w:tcPr>
            <w:tcW w:w="850" w:type="dxa"/>
          </w:tcPr>
          <w:p w:rsidR="00E56E6C" w:rsidRPr="00E56E6C" w:rsidRDefault="00E56E6C" w:rsidP="00E56E6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E56E6C" w:rsidRPr="00E56E6C" w:rsidTr="00E56E6C">
        <w:tblPrEx>
          <w:tblCellMar>
            <w:top w:w="0" w:type="dxa"/>
            <w:bottom w:w="0" w:type="dxa"/>
          </w:tblCellMar>
        </w:tblPrEx>
        <w:tc>
          <w:tcPr>
            <w:tcW w:w="1247" w:type="dxa"/>
          </w:tcPr>
          <w:p w:rsidR="00E56E6C" w:rsidRPr="00E56E6C" w:rsidRDefault="00E56E6C" w:rsidP="00E56E6C">
            <w:pPr>
              <w:spacing w:line="240" w:lineRule="auto"/>
              <w:jc w:val="left"/>
              <w:rPr>
                <w:rFonts w:cs="Frankruhel"/>
                <w:sz w:val="24"/>
                <w:rtl/>
              </w:rPr>
            </w:pPr>
            <w:r>
              <w:rPr>
                <w:rFonts w:cs="Times New Roman"/>
                <w:sz w:val="24"/>
                <w:rtl/>
              </w:rPr>
              <w:t xml:space="preserve">סעיף 12 </w:t>
            </w:r>
          </w:p>
        </w:tc>
        <w:tc>
          <w:tcPr>
            <w:tcW w:w="5669" w:type="dxa"/>
          </w:tcPr>
          <w:p w:rsidR="00E56E6C" w:rsidRPr="00E56E6C" w:rsidRDefault="00E56E6C" w:rsidP="00E56E6C">
            <w:pPr>
              <w:spacing w:line="240" w:lineRule="auto"/>
              <w:jc w:val="left"/>
              <w:rPr>
                <w:rFonts w:cs="Frankruhel"/>
                <w:sz w:val="24"/>
                <w:rtl/>
              </w:rPr>
            </w:pPr>
            <w:r>
              <w:rPr>
                <w:rFonts w:cs="Times New Roman"/>
                <w:sz w:val="24"/>
                <w:rtl/>
              </w:rPr>
              <w:t>החלטה בלא כתב תשובה או בהעדר התייצבות</w:t>
            </w:r>
          </w:p>
        </w:tc>
        <w:tc>
          <w:tcPr>
            <w:tcW w:w="567" w:type="dxa"/>
          </w:tcPr>
          <w:p w:rsidR="00E56E6C" w:rsidRPr="00E56E6C" w:rsidRDefault="00E56E6C" w:rsidP="00E56E6C">
            <w:pPr>
              <w:spacing w:line="240" w:lineRule="auto"/>
              <w:jc w:val="left"/>
              <w:rPr>
                <w:rStyle w:val="Hyperlink"/>
                <w:rtl/>
              </w:rPr>
            </w:pPr>
            <w:hyperlink w:anchor="Seif12" w:tooltip="החלטה בלא כתב תשובה או בהעדר התייצבות" w:history="1">
              <w:r w:rsidRPr="00E56E6C">
                <w:rPr>
                  <w:rStyle w:val="Hyperlink"/>
                </w:rPr>
                <w:t>Go</w:t>
              </w:r>
            </w:hyperlink>
          </w:p>
        </w:tc>
        <w:tc>
          <w:tcPr>
            <w:tcW w:w="850" w:type="dxa"/>
          </w:tcPr>
          <w:p w:rsidR="00E56E6C" w:rsidRPr="00E56E6C" w:rsidRDefault="00E56E6C" w:rsidP="00E56E6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E56E6C" w:rsidRPr="00E56E6C" w:rsidTr="00E56E6C">
        <w:tblPrEx>
          <w:tblCellMar>
            <w:top w:w="0" w:type="dxa"/>
            <w:bottom w:w="0" w:type="dxa"/>
          </w:tblCellMar>
        </w:tblPrEx>
        <w:tc>
          <w:tcPr>
            <w:tcW w:w="1247" w:type="dxa"/>
          </w:tcPr>
          <w:p w:rsidR="00E56E6C" w:rsidRPr="00E56E6C" w:rsidRDefault="00E56E6C" w:rsidP="00E56E6C">
            <w:pPr>
              <w:spacing w:line="240" w:lineRule="auto"/>
              <w:jc w:val="left"/>
              <w:rPr>
                <w:rFonts w:cs="Frankruhel"/>
                <w:sz w:val="24"/>
                <w:rtl/>
              </w:rPr>
            </w:pPr>
            <w:r>
              <w:rPr>
                <w:rFonts w:cs="Times New Roman"/>
                <w:sz w:val="24"/>
                <w:rtl/>
              </w:rPr>
              <w:t xml:space="preserve">סעיף 13 </w:t>
            </w:r>
          </w:p>
        </w:tc>
        <w:tc>
          <w:tcPr>
            <w:tcW w:w="5669" w:type="dxa"/>
          </w:tcPr>
          <w:p w:rsidR="00E56E6C" w:rsidRPr="00E56E6C" w:rsidRDefault="00E56E6C" w:rsidP="00E56E6C">
            <w:pPr>
              <w:spacing w:line="240" w:lineRule="auto"/>
              <w:jc w:val="left"/>
              <w:rPr>
                <w:rFonts w:cs="Frankruhel"/>
                <w:sz w:val="24"/>
                <w:rtl/>
              </w:rPr>
            </w:pPr>
            <w:r>
              <w:rPr>
                <w:rFonts w:cs="Times New Roman"/>
                <w:sz w:val="24"/>
                <w:rtl/>
              </w:rPr>
              <w:t>פרוטוקול</w:t>
            </w:r>
          </w:p>
        </w:tc>
        <w:tc>
          <w:tcPr>
            <w:tcW w:w="567" w:type="dxa"/>
          </w:tcPr>
          <w:p w:rsidR="00E56E6C" w:rsidRPr="00E56E6C" w:rsidRDefault="00E56E6C" w:rsidP="00E56E6C">
            <w:pPr>
              <w:spacing w:line="240" w:lineRule="auto"/>
              <w:jc w:val="left"/>
              <w:rPr>
                <w:rStyle w:val="Hyperlink"/>
                <w:rtl/>
              </w:rPr>
            </w:pPr>
            <w:hyperlink w:anchor="Seif13" w:tooltip="פרוטוקול" w:history="1">
              <w:r w:rsidRPr="00E56E6C">
                <w:rPr>
                  <w:rStyle w:val="Hyperlink"/>
                </w:rPr>
                <w:t>Go</w:t>
              </w:r>
            </w:hyperlink>
          </w:p>
        </w:tc>
        <w:tc>
          <w:tcPr>
            <w:tcW w:w="850" w:type="dxa"/>
          </w:tcPr>
          <w:p w:rsidR="00E56E6C" w:rsidRPr="00E56E6C" w:rsidRDefault="00E56E6C" w:rsidP="00E56E6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E56E6C" w:rsidRPr="00E56E6C" w:rsidTr="00E56E6C">
        <w:tblPrEx>
          <w:tblCellMar>
            <w:top w:w="0" w:type="dxa"/>
            <w:bottom w:w="0" w:type="dxa"/>
          </w:tblCellMar>
        </w:tblPrEx>
        <w:tc>
          <w:tcPr>
            <w:tcW w:w="1247" w:type="dxa"/>
          </w:tcPr>
          <w:p w:rsidR="00E56E6C" w:rsidRPr="00E56E6C" w:rsidRDefault="00E56E6C" w:rsidP="00E56E6C">
            <w:pPr>
              <w:spacing w:line="240" w:lineRule="auto"/>
              <w:jc w:val="left"/>
              <w:rPr>
                <w:rFonts w:cs="Frankruhel"/>
                <w:sz w:val="24"/>
                <w:rtl/>
              </w:rPr>
            </w:pPr>
            <w:r>
              <w:rPr>
                <w:rFonts w:cs="Times New Roman"/>
                <w:sz w:val="24"/>
                <w:rtl/>
              </w:rPr>
              <w:t xml:space="preserve">סעיף 14 </w:t>
            </w:r>
          </w:p>
        </w:tc>
        <w:tc>
          <w:tcPr>
            <w:tcW w:w="5669" w:type="dxa"/>
          </w:tcPr>
          <w:p w:rsidR="00E56E6C" w:rsidRPr="00E56E6C" w:rsidRDefault="00E56E6C" w:rsidP="00E56E6C">
            <w:pPr>
              <w:spacing w:line="240" w:lineRule="auto"/>
              <w:jc w:val="left"/>
              <w:rPr>
                <w:rFonts w:cs="Frankruhel"/>
                <w:sz w:val="24"/>
                <w:rtl/>
              </w:rPr>
            </w:pPr>
            <w:r>
              <w:rPr>
                <w:rFonts w:cs="Times New Roman"/>
                <w:sz w:val="24"/>
                <w:rtl/>
              </w:rPr>
              <w:t>החלטה</w:t>
            </w:r>
          </w:p>
        </w:tc>
        <w:tc>
          <w:tcPr>
            <w:tcW w:w="567" w:type="dxa"/>
          </w:tcPr>
          <w:p w:rsidR="00E56E6C" w:rsidRPr="00E56E6C" w:rsidRDefault="00E56E6C" w:rsidP="00E56E6C">
            <w:pPr>
              <w:spacing w:line="240" w:lineRule="auto"/>
              <w:jc w:val="left"/>
              <w:rPr>
                <w:rStyle w:val="Hyperlink"/>
                <w:rtl/>
              </w:rPr>
            </w:pPr>
            <w:hyperlink w:anchor="Seif14" w:tooltip="החלטה" w:history="1">
              <w:r w:rsidRPr="00E56E6C">
                <w:rPr>
                  <w:rStyle w:val="Hyperlink"/>
                </w:rPr>
                <w:t>Go</w:t>
              </w:r>
            </w:hyperlink>
          </w:p>
        </w:tc>
        <w:tc>
          <w:tcPr>
            <w:tcW w:w="850" w:type="dxa"/>
          </w:tcPr>
          <w:p w:rsidR="00E56E6C" w:rsidRPr="00E56E6C" w:rsidRDefault="00E56E6C" w:rsidP="00E56E6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bl>
    <w:p w:rsidR="003F0742" w:rsidRDefault="003F0742">
      <w:pPr>
        <w:pStyle w:val="big-header"/>
        <w:ind w:left="0" w:right="1134"/>
        <w:rPr>
          <w:rtl/>
        </w:rPr>
      </w:pPr>
    </w:p>
    <w:p w:rsidR="003F0742" w:rsidRPr="00DF13A3" w:rsidRDefault="003F0742" w:rsidP="00DF13A3">
      <w:pPr>
        <w:pStyle w:val="big-header"/>
        <w:ind w:left="0" w:right="1134"/>
        <w:rPr>
          <w:rStyle w:val="default"/>
          <w:rFonts w:cs="FrankRuehl" w:hint="cs"/>
          <w:szCs w:val="32"/>
          <w:rtl/>
        </w:rPr>
      </w:pPr>
      <w:r>
        <w:rPr>
          <w:rtl/>
        </w:rPr>
        <w:br w:type="page"/>
      </w:r>
      <w:r w:rsidR="00A61B6E">
        <w:rPr>
          <w:rtl/>
        </w:rPr>
        <w:lastRenderedPageBreak/>
        <w:t>תקנות שירות ב</w:t>
      </w:r>
      <w:r w:rsidR="00A61B6E">
        <w:rPr>
          <w:rFonts w:hint="cs"/>
          <w:rtl/>
        </w:rPr>
        <w:t>י</w:t>
      </w:r>
      <w:r w:rsidR="00A61B6E">
        <w:rPr>
          <w:rtl/>
        </w:rPr>
        <w:t>טחון (</w:t>
      </w:r>
      <w:r w:rsidR="00A61B6E">
        <w:rPr>
          <w:rFonts w:hint="cs"/>
          <w:rtl/>
        </w:rPr>
        <w:t>הרכב הוועדה לבחינת פטור מטעמי הכרה דתית וסדרי הדין בה) (הוראת שעה), תשע"ח-2018</w:t>
      </w:r>
      <w:r>
        <w:rPr>
          <w:rStyle w:val="default"/>
          <w:rtl/>
        </w:rPr>
        <w:footnoteReference w:customMarkFollows="1" w:id="1"/>
        <w:t>*</w:t>
      </w:r>
    </w:p>
    <w:p w:rsidR="003F0742" w:rsidRDefault="003F0742">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תוקף סמכותי לפי </w:t>
      </w:r>
      <w:r w:rsidR="00A61B6E">
        <w:rPr>
          <w:rStyle w:val="default"/>
          <w:rFonts w:cs="FrankRuehl" w:hint="cs"/>
          <w:rtl/>
        </w:rPr>
        <w:t>סעיף 40ג</w:t>
      </w:r>
      <w:r>
        <w:rPr>
          <w:rStyle w:val="default"/>
          <w:rFonts w:cs="FrankRuehl" w:hint="cs"/>
          <w:rtl/>
        </w:rPr>
        <w:t xml:space="preserve"> לחוק שיר</w:t>
      </w:r>
      <w:r>
        <w:rPr>
          <w:rStyle w:val="default"/>
          <w:rFonts w:cs="FrankRuehl"/>
          <w:rtl/>
        </w:rPr>
        <w:t>ו</w:t>
      </w:r>
      <w:r>
        <w:rPr>
          <w:rStyle w:val="default"/>
          <w:rFonts w:cs="FrankRuehl" w:hint="cs"/>
          <w:rtl/>
        </w:rPr>
        <w:t>ת ב</w:t>
      </w:r>
      <w:r w:rsidR="00A61B6E">
        <w:rPr>
          <w:rStyle w:val="default"/>
          <w:rFonts w:cs="FrankRuehl" w:hint="cs"/>
          <w:rtl/>
        </w:rPr>
        <w:t>י</w:t>
      </w:r>
      <w:r>
        <w:rPr>
          <w:rStyle w:val="default"/>
          <w:rFonts w:cs="FrankRuehl" w:hint="cs"/>
          <w:rtl/>
        </w:rPr>
        <w:t>טחון [נוסח משולב]</w:t>
      </w:r>
      <w:r w:rsidR="00A61B6E">
        <w:rPr>
          <w:rStyle w:val="default"/>
          <w:rFonts w:cs="FrankRuehl" w:hint="cs"/>
          <w:rtl/>
        </w:rPr>
        <w:t>, התשמ"ו-1986</w:t>
      </w:r>
      <w:r>
        <w:rPr>
          <w:rStyle w:val="default"/>
          <w:rFonts w:cs="FrankRuehl" w:hint="cs"/>
          <w:rtl/>
        </w:rPr>
        <w:t xml:space="preserve"> (להלן </w:t>
      </w:r>
      <w:r w:rsidR="00A61B6E">
        <w:rPr>
          <w:rStyle w:val="default"/>
          <w:rFonts w:cs="FrankRuehl"/>
          <w:rtl/>
        </w:rPr>
        <w:t>–</w:t>
      </w:r>
      <w:r>
        <w:rPr>
          <w:rStyle w:val="default"/>
          <w:rFonts w:cs="FrankRuehl" w:hint="cs"/>
          <w:rtl/>
        </w:rPr>
        <w:t xml:space="preserve"> החוק),</w:t>
      </w:r>
      <w:r w:rsidR="00A61B6E">
        <w:rPr>
          <w:rStyle w:val="default"/>
          <w:rFonts w:cs="FrankRuehl" w:hint="cs"/>
          <w:rtl/>
        </w:rPr>
        <w:t xml:space="preserve"> בהתייעצות עם שר המשפטים ובאישור הוועדה המשותפת לוועדת החוץ והביטחון ולוועדת החוקה חוק ומשפט של הכנסת,</w:t>
      </w:r>
      <w:r>
        <w:rPr>
          <w:rStyle w:val="default"/>
          <w:rFonts w:cs="FrankRuehl" w:hint="cs"/>
          <w:rtl/>
        </w:rPr>
        <w:t xml:space="preserve"> אני מתקין תקנות אלה:</w:t>
      </w:r>
    </w:p>
    <w:p w:rsidR="003F0742" w:rsidRDefault="003F0742">
      <w:pPr>
        <w:pStyle w:val="P00"/>
        <w:spacing w:before="72"/>
        <w:ind w:left="0" w:right="1134"/>
        <w:rPr>
          <w:rStyle w:val="default"/>
          <w:rFonts w:cs="FrankRuehl"/>
          <w:rtl/>
        </w:rPr>
      </w:pPr>
      <w:bookmarkStart w:id="0" w:name="Seif1"/>
      <w:bookmarkEnd w:id="0"/>
      <w:r>
        <w:rPr>
          <w:lang w:val="he-IL"/>
        </w:rPr>
        <w:pict>
          <v:rect id="_x0000_s1026" style="position:absolute;left:0;text-align:left;margin-left:464.5pt;margin-top:8.05pt;width:75.05pt;height:9.75pt;z-index:251651072" o:allowincell="f" filled="f" stroked="f" strokecolor="lime" strokeweight=".25pt">
            <v:textbox inset="0,0,0,0">
              <w:txbxContent>
                <w:p w:rsidR="003F0742" w:rsidRDefault="00A61B6E">
                  <w:pPr>
                    <w:spacing w:line="160" w:lineRule="exact"/>
                    <w:jc w:val="left"/>
                    <w:rPr>
                      <w:rFonts w:cs="Miriam"/>
                      <w:noProof/>
                      <w:szCs w:val="18"/>
                      <w:rtl/>
                    </w:rPr>
                  </w:pPr>
                  <w:r>
                    <w:rPr>
                      <w:rFonts w:cs="Miriam" w:hint="cs"/>
                      <w:szCs w:val="18"/>
                      <w:rtl/>
                    </w:rPr>
                    <w:t>הרכב הוועדה</w:t>
                  </w:r>
                </w:p>
              </w:txbxContent>
            </v:textbox>
            <w10:anchorlock/>
          </v:rect>
        </w:pict>
      </w:r>
      <w:r>
        <w:rPr>
          <w:rStyle w:val="big-number"/>
          <w:rtl/>
        </w:rPr>
        <w:t>1.</w:t>
      </w:r>
      <w:r>
        <w:rPr>
          <w:rStyle w:val="big-number"/>
          <w:rtl/>
        </w:rPr>
        <w:tab/>
      </w:r>
      <w:r w:rsidR="00A61B6E">
        <w:rPr>
          <w:rStyle w:val="default"/>
          <w:rFonts w:cs="FrankRuehl" w:hint="cs"/>
          <w:rtl/>
        </w:rPr>
        <w:t>(א)</w:t>
      </w:r>
      <w:r w:rsidR="00A61B6E">
        <w:rPr>
          <w:rStyle w:val="default"/>
          <w:rFonts w:cs="FrankRuehl"/>
          <w:rtl/>
        </w:rPr>
        <w:tab/>
      </w:r>
      <w:r w:rsidR="00A61B6E">
        <w:rPr>
          <w:rStyle w:val="default"/>
          <w:rFonts w:cs="FrankRuehl" w:hint="cs"/>
          <w:rtl/>
        </w:rPr>
        <w:t>שר הביטחון ימנה את חברי הוועדה, כהגדרתה בסעיף 40א(א) לחוק, וכן ימנה להם ממלאי מקום, ובלבד שממלא המקום יעמוד בתנאים שבהם עמד חבר הוועדה, לרבות קבלת ההמלצות בעניין מינוים, כאמור בסעיף קטן (ג).</w:t>
      </w:r>
    </w:p>
    <w:p w:rsidR="00A61B6E" w:rsidRDefault="00A61B6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6F0B84">
        <w:rPr>
          <w:rStyle w:val="default"/>
          <w:rFonts w:cs="FrankRuehl" w:hint="cs"/>
          <w:rtl/>
        </w:rPr>
        <w:t xml:space="preserve">שלושה לפחות מבין חברי הוועדה יהיו נשים; מונתה חברת ועדה אישה, רשאי </w:t>
      </w:r>
      <w:r w:rsidR="009D68A6">
        <w:rPr>
          <w:rStyle w:val="default"/>
          <w:rFonts w:cs="FrankRuehl" w:hint="cs"/>
          <w:rtl/>
        </w:rPr>
        <w:t>שר הביטחון למנות לה ממלא מקום אישה בלבד.</w:t>
      </w:r>
    </w:p>
    <w:p w:rsidR="009D68A6" w:rsidRDefault="009D68A6">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בוועדה יכהנו </w:t>
      </w:r>
      <w:r>
        <w:rPr>
          <w:rStyle w:val="default"/>
          <w:rFonts w:cs="FrankRuehl"/>
          <w:rtl/>
        </w:rPr>
        <w:t>–</w:t>
      </w:r>
    </w:p>
    <w:p w:rsidR="009D68A6" w:rsidRDefault="009D68A6" w:rsidP="00104CCC">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מי שכיהן כשופט של בית משפט שלום, ויצא לקצבה, לפי הצעת שר המשפטים, והוא יהיה היושב ראש;</w:t>
      </w:r>
    </w:p>
    <w:p w:rsidR="009D68A6" w:rsidRDefault="009D68A6" w:rsidP="00104CCC">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שני נציגי ציבור, בין שהם עובדי ציבור ובין שאינם, בצבא הגנה לישראל בדרגה של רב סרן לפחות;</w:t>
      </w:r>
    </w:p>
    <w:p w:rsidR="009D68A6" w:rsidRDefault="009D68A6" w:rsidP="00104CCC">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נציג ציבור לפי המלצת הרבנים הראשיים; לא המליצו הרבנים הראשים כאמור, בתוך 60 ימים, ימנה שר הביטחון נציג ציבור הכשיר להתמנות רב עיר לפי תקנות שירותי הדת היהודיים (בחירות רבני עיר), התשס"ז-2007;</w:t>
      </w:r>
    </w:p>
    <w:p w:rsidR="009D68A6" w:rsidRDefault="009D68A6" w:rsidP="00104CCC">
      <w:pPr>
        <w:pStyle w:val="P00"/>
        <w:spacing w:before="72"/>
        <w:ind w:left="1021" w:right="1134"/>
        <w:rPr>
          <w:rStyle w:val="default"/>
          <w:rFonts w:cs="FrankRuehl"/>
          <w:rtl/>
        </w:rPr>
      </w:pPr>
      <w:r>
        <w:rPr>
          <w:rStyle w:val="default"/>
          <w:rFonts w:cs="FrankRuehl" w:hint="cs"/>
          <w:rtl/>
        </w:rPr>
        <w:t>(4)</w:t>
      </w:r>
      <w:r>
        <w:rPr>
          <w:rStyle w:val="default"/>
          <w:rFonts w:cs="FrankRuehl"/>
          <w:rtl/>
        </w:rPr>
        <w:tab/>
      </w:r>
      <w:r w:rsidR="00104CCC">
        <w:rPr>
          <w:rStyle w:val="default"/>
          <w:rFonts w:cs="FrankRuehl" w:hint="cs"/>
          <w:rtl/>
        </w:rPr>
        <w:t>נציג ציבור שכיהן כרב צבאי.</w:t>
      </w:r>
    </w:p>
    <w:p w:rsidR="00104CCC" w:rsidRDefault="00104CCC">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מינוי ועדה יכול שיהיה לכל הארץ או לאזור מסוים שיקבע שר הביטחון.</w:t>
      </w:r>
    </w:p>
    <w:p w:rsidR="00104CCC" w:rsidRDefault="00104CCC">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שר הביטחון יפרסם הודעה על מינוי חברי הוועדה וממלאי מקומם, מענה ואזור שיפוטה ברשומות ובאתרי האינטרנט של משרד הביטחון ואגף כוח אדם בצבא הגנה לישראל.</w:t>
      </w:r>
    </w:p>
    <w:p w:rsidR="00104CCC" w:rsidRDefault="00104CCC">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בלי לגרוע מהוראות תקנה 1(ג)(3), שר הביטחון ימנה את חברי הוועדה ואת ממלאי מקומם בתוך 90 ימים.</w:t>
      </w:r>
    </w:p>
    <w:p w:rsidR="003F0742" w:rsidRDefault="003F0742">
      <w:pPr>
        <w:pStyle w:val="P00"/>
        <w:spacing w:before="72"/>
        <w:ind w:left="0" w:right="1134"/>
        <w:rPr>
          <w:rStyle w:val="default"/>
          <w:rFonts w:cs="FrankRuehl"/>
          <w:rtl/>
        </w:rPr>
      </w:pPr>
      <w:bookmarkStart w:id="1" w:name="Seif2"/>
      <w:bookmarkEnd w:id="1"/>
      <w:r>
        <w:rPr>
          <w:lang w:val="he-IL"/>
        </w:rPr>
        <w:pict>
          <v:rect id="_x0000_s1027" style="position:absolute;left:0;text-align:left;margin-left:464.5pt;margin-top:8.05pt;width:75.05pt;height:12.05pt;z-index:251652096" o:allowincell="f" filled="f" stroked="f" strokecolor="lime" strokeweight=".25pt">
            <v:textbox inset="0,0,0,0">
              <w:txbxContent>
                <w:p w:rsidR="003F0742" w:rsidRDefault="00104CCC">
                  <w:pPr>
                    <w:spacing w:line="160" w:lineRule="exact"/>
                    <w:jc w:val="left"/>
                    <w:rPr>
                      <w:rFonts w:cs="Miriam"/>
                      <w:noProof/>
                      <w:szCs w:val="18"/>
                      <w:rtl/>
                    </w:rPr>
                  </w:pPr>
                  <w:r>
                    <w:rPr>
                      <w:rFonts w:cs="Miriam" w:hint="cs"/>
                      <w:szCs w:val="18"/>
                      <w:rtl/>
                    </w:rPr>
                    <w:t>ניגוד עניינים</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ab/>
      </w:r>
      <w:r w:rsidR="00104CCC">
        <w:rPr>
          <w:rStyle w:val="default"/>
          <w:rFonts w:cs="FrankRuehl" w:hint="cs"/>
          <w:rtl/>
        </w:rPr>
        <w:t>לא יתמנה ולא יכהן כחבר ועדה מי שעלול להימצא, במישרין או בעקיפין, באופן תדיר במצב של ניגוד עניינים בין תפקידו כחבר הוועדה ובין עניין אישי שלו.</w:t>
      </w:r>
    </w:p>
    <w:p w:rsidR="00104CCC" w:rsidRDefault="00104CCC">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3E3FE5">
        <w:rPr>
          <w:rStyle w:val="default"/>
          <w:rFonts w:cs="FrankRuehl" w:hint="cs"/>
          <w:rtl/>
        </w:rPr>
        <w:t xml:space="preserve">חבר הוועדה לא ישתתף בדיון בוועדה בבקשה מסוימת, אם מצא, מיוזמתו או לבקשת אחד הצדדים, כי הוא עלול להימצא בניגוד עניינים בין תפקידו כחבר הוועדה ובין עניין אישי שלו; מצא כן </w:t>
      </w:r>
      <w:r w:rsidR="003E3FE5">
        <w:rPr>
          <w:rStyle w:val="default"/>
          <w:rFonts w:cs="FrankRuehl"/>
          <w:rtl/>
        </w:rPr>
        <w:t>–</w:t>
      </w:r>
      <w:r w:rsidR="003E3FE5">
        <w:rPr>
          <w:rStyle w:val="default"/>
          <w:rFonts w:cs="FrankRuehl" w:hint="cs"/>
          <w:rtl/>
        </w:rPr>
        <w:t xml:space="preserve"> יודיע על כך ליושב ראש הוועדה ולחבריה בהודעה מנומקת, ואם החלו הדיון </w:t>
      </w:r>
      <w:r w:rsidR="003E3FE5">
        <w:rPr>
          <w:rStyle w:val="default"/>
          <w:rFonts w:cs="FrankRuehl"/>
          <w:rtl/>
        </w:rPr>
        <w:t>–</w:t>
      </w:r>
      <w:r w:rsidR="003E3FE5">
        <w:rPr>
          <w:rStyle w:val="default"/>
          <w:rFonts w:cs="FrankRuehl" w:hint="cs"/>
          <w:rtl/>
        </w:rPr>
        <w:t xml:space="preserve"> גם לצדדים, ויימנע מלהשתתף בדיון באותה בקשה; הודעתו תירשם בפרוטוקול הישיבה.</w:t>
      </w:r>
    </w:p>
    <w:p w:rsidR="003E3FE5" w:rsidRDefault="003E3FE5">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התעורר אצל חבר הוועדה, לרבות היושב ראש, ספק בשאלה אם הוא מנוע מלהשתתף בדיון בבקשה מסוימת מפאת ניגוד עניינים, או טען אחד הצדדים שחבר הוועדה מנוע כאמור, יחליט בדבר יושב ראש הוועדה והחלטתו המנומקת תירשם בפרוטוקול.</w:t>
      </w:r>
    </w:p>
    <w:p w:rsidR="003E3FE5" w:rsidRDefault="003E3FE5">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לא תישמע טענה של אחד הצדדים כי חבר ועדה מנוע מלהשתתף בדיון בבקשה מסוימת בשל ניגוד עניינים, אלא אם כן נטענה בתחילת הדיון או מיד לאחר שנודעה לו עילת ניגוד העניינים.</w:t>
      </w:r>
    </w:p>
    <w:p w:rsidR="003E3FE5" w:rsidRDefault="003E3FE5">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 xml:space="preserve">בתקנה זו </w:t>
      </w:r>
      <w:r>
        <w:rPr>
          <w:rStyle w:val="default"/>
          <w:rFonts w:cs="FrankRuehl"/>
          <w:rtl/>
        </w:rPr>
        <w:t>–</w:t>
      </w:r>
    </w:p>
    <w:p w:rsidR="003E3FE5" w:rsidRDefault="003E3FE5">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"עניין אישי" </w:t>
      </w:r>
      <w:r>
        <w:rPr>
          <w:rStyle w:val="default"/>
          <w:rFonts w:cs="FrankRuehl"/>
          <w:rtl/>
        </w:rPr>
        <w:t>–</w:t>
      </w:r>
      <w:r>
        <w:rPr>
          <w:rStyle w:val="default"/>
          <w:rFonts w:cs="FrankRuehl" w:hint="cs"/>
          <w:rtl/>
        </w:rPr>
        <w:t xml:space="preserve"> לרבות עניין אישי של קרוב של חבר הוועדה, או עניין של גוף שחבר הוועדה או קרובו הם בעלי עניין בו;</w:t>
      </w:r>
    </w:p>
    <w:p w:rsidR="003E3FE5" w:rsidRDefault="003E3FE5">
      <w:pPr>
        <w:pStyle w:val="P00"/>
        <w:spacing w:before="72"/>
        <w:ind w:left="0" w:right="1134"/>
        <w:rPr>
          <w:rStyle w:val="default"/>
          <w:rFonts w:cs="FrankRuehl" w:hint="cs"/>
          <w:rtl/>
        </w:rPr>
      </w:pPr>
      <w:r>
        <w:rPr>
          <w:rStyle w:val="default"/>
          <w:rFonts w:cs="FrankRuehl"/>
          <w:rtl/>
        </w:rPr>
        <w:tab/>
      </w:r>
      <w:r>
        <w:rPr>
          <w:rStyle w:val="default"/>
          <w:rFonts w:cs="FrankRuehl" w:hint="cs"/>
          <w:rtl/>
        </w:rPr>
        <w:t xml:space="preserve">"קרוב" </w:t>
      </w:r>
      <w:r>
        <w:rPr>
          <w:rStyle w:val="default"/>
          <w:rFonts w:cs="FrankRuehl"/>
          <w:rtl/>
        </w:rPr>
        <w:t>–</w:t>
      </w:r>
      <w:r>
        <w:rPr>
          <w:rStyle w:val="default"/>
          <w:rFonts w:cs="FrankRuehl" w:hint="cs"/>
          <w:rtl/>
        </w:rPr>
        <w:t xml:space="preserve"> בן זוג, הורה, הורה הורה, בן, בת, ובני זוגם, אח או אחות וילדיהם, גיס, גיסה, דוד, דודה, חותן, חותנת, חם, חמות, חתן, כלה, נכד, נכדה, </w:t>
      </w:r>
      <w:r w:rsidR="00573D40">
        <w:rPr>
          <w:rStyle w:val="default"/>
          <w:rFonts w:cs="FrankRuehl" w:hint="cs"/>
          <w:rtl/>
        </w:rPr>
        <w:t xml:space="preserve">לרבות חורג או מאומץ, וכן אדם אחר </w:t>
      </w:r>
      <w:r w:rsidR="00573D40">
        <w:rPr>
          <w:rStyle w:val="default"/>
          <w:rFonts w:cs="FrankRuehl" w:hint="cs"/>
          <w:rtl/>
        </w:rPr>
        <w:lastRenderedPageBreak/>
        <w:t>הסמוך על שולחנו של חבר הוועדה.</w:t>
      </w:r>
    </w:p>
    <w:p w:rsidR="003F0742" w:rsidRDefault="003F0742">
      <w:pPr>
        <w:pStyle w:val="P00"/>
        <w:spacing w:before="72"/>
        <w:ind w:left="0" w:right="1134"/>
        <w:rPr>
          <w:rStyle w:val="default"/>
          <w:rFonts w:cs="FrankRuehl"/>
          <w:rtl/>
        </w:rPr>
      </w:pPr>
      <w:bookmarkStart w:id="2" w:name="Seif3"/>
      <w:bookmarkEnd w:id="2"/>
      <w:r>
        <w:rPr>
          <w:lang w:val="he-IL"/>
        </w:rPr>
        <w:pict>
          <v:rect id="_x0000_s1028" style="position:absolute;left:0;text-align:left;margin-left:464.5pt;margin-top:8.05pt;width:75.05pt;height:11.65pt;z-index:251653120" o:allowincell="f" filled="f" stroked="f" strokecolor="lime" strokeweight=".25pt">
            <v:textbox inset="0,0,0,0">
              <w:txbxContent>
                <w:p w:rsidR="003F0742" w:rsidRDefault="00573D40">
                  <w:pPr>
                    <w:spacing w:line="160" w:lineRule="exact"/>
                    <w:jc w:val="left"/>
                    <w:rPr>
                      <w:rFonts w:cs="Miriam"/>
                      <w:noProof/>
                      <w:szCs w:val="18"/>
                      <w:rtl/>
                    </w:rPr>
                  </w:pPr>
                  <w:r>
                    <w:rPr>
                      <w:rFonts w:cs="Miriam" w:hint="cs"/>
                      <w:szCs w:val="18"/>
                      <w:rtl/>
                    </w:rPr>
                    <w:t>הרכב חסר</w:t>
                  </w:r>
                </w:p>
              </w:txbxContent>
            </v:textbox>
            <w10:anchorlock/>
          </v:rect>
        </w:pict>
      </w:r>
      <w:r>
        <w:rPr>
          <w:rStyle w:val="big-number"/>
          <w:rtl/>
        </w:rPr>
        <w:t>3.</w:t>
      </w:r>
      <w:r>
        <w:rPr>
          <w:rStyle w:val="big-number"/>
          <w:rtl/>
        </w:rPr>
        <w:tab/>
      </w:r>
      <w:r w:rsidR="00573D40">
        <w:rPr>
          <w:rStyle w:val="default"/>
          <w:rFonts w:cs="FrankRuehl" w:hint="cs"/>
          <w:rtl/>
        </w:rPr>
        <w:t>(א)</w:t>
      </w:r>
      <w:r w:rsidR="00573D40">
        <w:rPr>
          <w:rStyle w:val="default"/>
          <w:rFonts w:cs="FrankRuehl"/>
          <w:rtl/>
        </w:rPr>
        <w:tab/>
      </w:r>
      <w:r w:rsidR="00573D40">
        <w:rPr>
          <w:rStyle w:val="default"/>
          <w:rFonts w:cs="FrankRuehl" w:hint="cs"/>
          <w:rtl/>
        </w:rPr>
        <w:t xml:space="preserve">שלושה מחברי הוועדה, ובהם היושב ראש </w:t>
      </w:r>
      <w:r w:rsidR="00573D40">
        <w:rPr>
          <w:rStyle w:val="default"/>
          <w:rFonts w:cs="FrankRuehl"/>
          <w:rtl/>
        </w:rPr>
        <w:t>–</w:t>
      </w:r>
      <w:r w:rsidR="00573D40">
        <w:rPr>
          <w:rStyle w:val="default"/>
          <w:rFonts w:cs="FrankRuehl" w:hint="cs"/>
          <w:rtl/>
        </w:rPr>
        <w:t xml:space="preserve"> יהיו מניין חוקי להפעלת כל סמכות של הוועדה, ובלבד שכל חבריה זומנו כדין לדיון בהתאם לנוהל שתקבע הוועדה</w:t>
      </w:r>
      <w:r>
        <w:rPr>
          <w:rStyle w:val="default"/>
          <w:rFonts w:cs="FrankRuehl" w:hint="cs"/>
          <w:rtl/>
        </w:rPr>
        <w:t>.</w:t>
      </w:r>
    </w:p>
    <w:p w:rsidR="00573D40" w:rsidRDefault="00573D4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נמנע מחבר ההרכב, שאינו היושב ראש, למלא את תפקידו לאחר תחילת הדיון, מכל סיבה </w:t>
      </w:r>
      <w:r>
        <w:rPr>
          <w:rStyle w:val="default"/>
          <w:rFonts w:cs="FrankRuehl"/>
          <w:rtl/>
        </w:rPr>
        <w:t>–</w:t>
      </w:r>
      <w:r>
        <w:rPr>
          <w:rStyle w:val="default"/>
          <w:rFonts w:cs="FrankRuehl" w:hint="cs"/>
          <w:rtl/>
        </w:rPr>
        <w:t xml:space="preserve"> יימשך הדיון עד סיומו לפני חברי ההרכב האחרים </w:t>
      </w:r>
      <w:r>
        <w:rPr>
          <w:rStyle w:val="default"/>
          <w:rFonts w:cs="FrankRuehl"/>
          <w:rtl/>
        </w:rPr>
        <w:t>–</w:t>
      </w:r>
      <w:r>
        <w:rPr>
          <w:rStyle w:val="default"/>
          <w:rFonts w:cs="FrankRuehl" w:hint="cs"/>
          <w:rtl/>
        </w:rPr>
        <w:t xml:space="preserve"> ובלבד שלא יפחת מספר חברי הוועדה משלושה, אלא אם כן החליט היושב ראש, מטעמים מיוחדים שיירשמו, להפסיק את הדיון מחמת עיוות דין.</w:t>
      </w:r>
    </w:p>
    <w:p w:rsidR="00573D40" w:rsidRDefault="00573D40">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נמנע מהיושב ראש או מחבר הוועדה להשתתף בדיון, ישבו במקומם ממלאי מקומם.</w:t>
      </w:r>
    </w:p>
    <w:p w:rsidR="00573D40" w:rsidRDefault="00573D40">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התחלף היושב ראש, רשאי ההרכב להמשיך בדיון מן השלב שאליו הגיע ההרכב הקודם, ולנהוג בראיות שגבה ההרכב הקודם כאילו גבה אותן בעצמו, או לחזור ולגבותן, כולן או מקצתן.</w:t>
      </w:r>
    </w:p>
    <w:p w:rsidR="003F0742" w:rsidRDefault="003F0742">
      <w:pPr>
        <w:pStyle w:val="P00"/>
        <w:spacing w:before="72"/>
        <w:ind w:left="0" w:right="1134"/>
        <w:rPr>
          <w:rStyle w:val="default"/>
          <w:rFonts w:cs="FrankRuehl"/>
          <w:rtl/>
        </w:rPr>
      </w:pPr>
      <w:bookmarkStart w:id="3" w:name="Seif4"/>
      <w:bookmarkEnd w:id="3"/>
      <w:r>
        <w:rPr>
          <w:lang w:val="he-IL"/>
        </w:rPr>
        <w:pict>
          <v:rect id="_x0000_s1029" style="position:absolute;left:0;text-align:left;margin-left:464.5pt;margin-top:8.05pt;width:75.05pt;height:11.15pt;z-index:251654144" o:allowincell="f" filled="f" stroked="f" strokecolor="lime" strokeweight=".25pt">
            <v:textbox inset="0,0,0,0">
              <w:txbxContent>
                <w:p w:rsidR="003F0742" w:rsidRDefault="00856205">
                  <w:pPr>
                    <w:spacing w:line="160" w:lineRule="exact"/>
                    <w:jc w:val="left"/>
                    <w:rPr>
                      <w:rFonts w:cs="Miriam"/>
                      <w:noProof/>
                      <w:szCs w:val="18"/>
                      <w:rtl/>
                    </w:rPr>
                  </w:pPr>
                  <w:r>
                    <w:rPr>
                      <w:rFonts w:cs="Miriam" w:hint="cs"/>
                      <w:szCs w:val="18"/>
                      <w:rtl/>
                    </w:rPr>
                    <w:t>בקשה לביטול הפטור</w:t>
                  </w:r>
                </w:p>
              </w:txbxContent>
            </v:textbox>
            <w10:anchorlock/>
          </v:rect>
        </w:pict>
      </w:r>
      <w:r>
        <w:rPr>
          <w:rStyle w:val="big-number"/>
          <w:rtl/>
        </w:rPr>
        <w:t>4.</w:t>
      </w:r>
      <w:r>
        <w:rPr>
          <w:rStyle w:val="big-number"/>
          <w:rtl/>
        </w:rPr>
        <w:tab/>
      </w:r>
      <w:r>
        <w:rPr>
          <w:rStyle w:val="default"/>
          <w:rFonts w:cs="FrankRuehl"/>
          <w:rtl/>
        </w:rPr>
        <w:t>(</w:t>
      </w:r>
      <w:r>
        <w:rPr>
          <w:rStyle w:val="default"/>
          <w:rFonts w:cs="FrankRuehl" w:hint="cs"/>
          <w:rtl/>
        </w:rPr>
        <w:t>א)</w:t>
      </w:r>
      <w:r>
        <w:rPr>
          <w:rStyle w:val="default"/>
          <w:rFonts w:cs="FrankRuehl"/>
          <w:rtl/>
        </w:rPr>
        <w:tab/>
      </w:r>
      <w:r w:rsidR="00856205">
        <w:rPr>
          <w:rStyle w:val="default"/>
          <w:rFonts w:cs="FrankRuehl" w:hint="cs"/>
          <w:rtl/>
        </w:rPr>
        <w:t>בקשה לביטול פטור תוגש לוועדה כשהיא מודפסת, חתומה ביד הפוקד, למען הוועדה שפורסם לפי תקנה 1.</w:t>
      </w:r>
    </w:p>
    <w:p w:rsidR="00856205" w:rsidRDefault="00856205">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הבקשה תפרט את כל אלה:</w:t>
      </w:r>
    </w:p>
    <w:p w:rsidR="00856205" w:rsidRDefault="00856205" w:rsidP="00D874F6">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שם הפוקד, דרגתו, והמען להמצאת הודעות ומסמכים מאת הוועדה;</w:t>
      </w:r>
    </w:p>
    <w:p w:rsidR="00856205" w:rsidRDefault="00856205" w:rsidP="00D874F6">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שמה ומענה של המיועדת לשירות ביטחון, שתצוין כמשיבה;</w:t>
      </w:r>
    </w:p>
    <w:p w:rsidR="00856205" w:rsidRDefault="00856205" w:rsidP="00D874F6">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תמצית הבקשה;</w:t>
      </w:r>
    </w:p>
    <w:p w:rsidR="00856205" w:rsidRDefault="00856205" w:rsidP="00D874F6">
      <w:pPr>
        <w:pStyle w:val="P00"/>
        <w:spacing w:before="72"/>
        <w:ind w:left="1021" w:right="1134"/>
        <w:rPr>
          <w:rStyle w:val="default"/>
          <w:rFonts w:cs="FrankRuehl"/>
          <w:rtl/>
        </w:rPr>
      </w:pPr>
      <w:r>
        <w:rPr>
          <w:rStyle w:val="default"/>
          <w:rFonts w:cs="FrankRuehl" w:hint="cs"/>
          <w:rtl/>
        </w:rPr>
        <w:t>(4)</w:t>
      </w:r>
      <w:r>
        <w:rPr>
          <w:rStyle w:val="default"/>
          <w:rFonts w:cs="FrankRuehl"/>
          <w:rtl/>
        </w:rPr>
        <w:tab/>
      </w:r>
      <w:r w:rsidR="00D874F6">
        <w:rPr>
          <w:rStyle w:val="default"/>
          <w:rFonts w:cs="FrankRuehl" w:hint="cs"/>
          <w:rtl/>
        </w:rPr>
        <w:t>העובדות שעליהן מסתמך הפוקד;</w:t>
      </w:r>
    </w:p>
    <w:p w:rsidR="00D874F6" w:rsidRDefault="00D874F6" w:rsidP="00D874F6">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הנימוקים שעליהם מתבססת הבקשה;</w:t>
      </w:r>
    </w:p>
    <w:p w:rsidR="00D874F6" w:rsidRDefault="00D874F6" w:rsidP="00D874F6">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 xml:space="preserve">התאריך שבו נמסרה למיועדת לשירות ביטחון ההודעה על כוונתו של הפוקד להגיש בקשה לבחינת הפטור לוועדה כאמור בסעיף 40ב לחוק (בסעיף זה </w:t>
      </w:r>
      <w:r>
        <w:rPr>
          <w:rStyle w:val="default"/>
          <w:rFonts w:cs="FrankRuehl"/>
          <w:rtl/>
        </w:rPr>
        <w:t>–</w:t>
      </w:r>
      <w:r>
        <w:rPr>
          <w:rStyle w:val="default"/>
          <w:rFonts w:cs="FrankRuehl" w:hint="cs"/>
          <w:rtl/>
        </w:rPr>
        <w:t xml:space="preserve"> ההודעה); ההודעה תימסר למיועדת לשירות ביטחון בדואר רשום עם אישור מסירה, ויראוה כנמסרה אל המיועדת אם נמסרה אליה או אל בן משפחתה בתאריך הרשום של אישור המסירה או בתאריך שבו סירבו לקבל את ההודעה;</w:t>
      </w:r>
    </w:p>
    <w:p w:rsidR="00D874F6" w:rsidRDefault="00D874F6" w:rsidP="00D874F6">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רשימת המסמכים שעליהם מתבססת הבקשה;</w:t>
      </w:r>
    </w:p>
    <w:p w:rsidR="00D874F6" w:rsidRDefault="00D874F6" w:rsidP="00D874F6">
      <w:pPr>
        <w:pStyle w:val="P00"/>
        <w:spacing w:before="72"/>
        <w:ind w:left="1021"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הודעה בדבר זכותה של המיועדת לשירות ביטחון להגיש כתב תשובה בצירוף מסמכים, להגיש מסמכים בלבד או להשמיע את טענותיה לפני הוועדה בעצמה או בלוויית מי מטמעה.</w:t>
      </w:r>
    </w:p>
    <w:p w:rsidR="00D874F6" w:rsidRDefault="00D874F6">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לכתב הבקשה יצורף העתק צילומי של כל מסמך שהפוקד מסתמך עליו, ושמצוי ברשותו.</w:t>
      </w:r>
    </w:p>
    <w:p w:rsidR="00D874F6" w:rsidRDefault="00D874F6">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הוגשה בקשה לוועדה, ימציא הפוקד, לפי סעיף 55(ה)(1) או (2) לחוק, לידי המיועדת לשירות ביטחון עותק של הבקשה לביטול הפטור על מצורפיה כאמור בתקנות משנה (ב) ו-(ג).</w:t>
      </w:r>
    </w:p>
    <w:p w:rsidR="003F0742" w:rsidRDefault="003F0742">
      <w:pPr>
        <w:pStyle w:val="P00"/>
        <w:spacing w:before="72"/>
        <w:ind w:left="0" w:right="1134"/>
        <w:rPr>
          <w:rStyle w:val="default"/>
          <w:rFonts w:cs="FrankRuehl"/>
          <w:rtl/>
        </w:rPr>
      </w:pPr>
      <w:bookmarkStart w:id="4" w:name="Seif5"/>
      <w:bookmarkEnd w:id="4"/>
      <w:r>
        <w:rPr>
          <w:lang w:val="he-IL"/>
        </w:rPr>
        <w:pict>
          <v:rect id="_x0000_s1030" style="position:absolute;left:0;text-align:left;margin-left:464.5pt;margin-top:8.05pt;width:75.05pt;height:16pt;z-index:251655168" o:allowincell="f" filled="f" stroked="f" strokecolor="lime" strokeweight=".25pt">
            <v:textbox inset="0,0,0,0">
              <w:txbxContent>
                <w:p w:rsidR="003F0742" w:rsidRDefault="00D874F6">
                  <w:pPr>
                    <w:spacing w:line="160" w:lineRule="exact"/>
                    <w:jc w:val="left"/>
                    <w:rPr>
                      <w:rFonts w:cs="Miriam"/>
                      <w:noProof/>
                      <w:szCs w:val="18"/>
                      <w:rtl/>
                    </w:rPr>
                  </w:pPr>
                  <w:r>
                    <w:rPr>
                      <w:rFonts w:cs="Miriam" w:hint="cs"/>
                      <w:szCs w:val="18"/>
                      <w:rtl/>
                    </w:rPr>
                    <w:t>הזמנת הצדדים לדיון</w:t>
                  </w:r>
                </w:p>
              </w:txbxContent>
            </v:textbox>
            <w10:anchorlock/>
          </v:rect>
        </w:pict>
      </w:r>
      <w:r>
        <w:rPr>
          <w:rStyle w:val="big-number"/>
          <w:rtl/>
        </w:rPr>
        <w:t>5.</w:t>
      </w:r>
      <w:r>
        <w:rPr>
          <w:rStyle w:val="big-number"/>
          <w:rtl/>
        </w:rPr>
        <w:tab/>
      </w:r>
      <w:r w:rsidR="00D874F6">
        <w:rPr>
          <w:rStyle w:val="default"/>
          <w:rFonts w:cs="FrankRuehl" w:hint="cs"/>
          <w:rtl/>
        </w:rPr>
        <w:t>הוגשה לוועדה בקשה לביטול פטור, יזמין יושב ראש הוועדה או מי שהוא הסמיך לכך, את הפוקד ואת המיועדת לשירות ביטחון; בהזמנה ייקבעו מועד תחילת הדיון וכל הוראה או פרט הדרושים לעניין</w:t>
      </w:r>
      <w:r>
        <w:rPr>
          <w:rStyle w:val="default"/>
          <w:rFonts w:cs="FrankRuehl" w:hint="cs"/>
          <w:rtl/>
        </w:rPr>
        <w:t>.</w:t>
      </w:r>
    </w:p>
    <w:p w:rsidR="003F0742" w:rsidRDefault="003F0742">
      <w:pPr>
        <w:pStyle w:val="P00"/>
        <w:spacing w:before="72"/>
        <w:ind w:left="0" w:right="1134"/>
        <w:rPr>
          <w:rStyle w:val="default"/>
          <w:rFonts w:cs="FrankRuehl"/>
          <w:rtl/>
        </w:rPr>
      </w:pPr>
      <w:bookmarkStart w:id="5" w:name="Seif6"/>
      <w:bookmarkEnd w:id="5"/>
      <w:r>
        <w:rPr>
          <w:lang w:val="he-IL"/>
        </w:rPr>
        <w:pict>
          <v:rect id="_x0000_s1031" style="position:absolute;left:0;text-align:left;margin-left:464.5pt;margin-top:8.05pt;width:75.05pt;height:13.65pt;z-index:251656192" o:allowincell="f" filled="f" stroked="f" strokecolor="lime" strokeweight=".25pt">
            <v:textbox inset="0,0,0,0">
              <w:txbxContent>
                <w:p w:rsidR="003F0742" w:rsidRDefault="00D874F6">
                  <w:pPr>
                    <w:spacing w:line="160" w:lineRule="exact"/>
                    <w:jc w:val="left"/>
                    <w:rPr>
                      <w:rFonts w:cs="Miriam"/>
                      <w:noProof/>
                      <w:szCs w:val="18"/>
                      <w:rtl/>
                    </w:rPr>
                  </w:pPr>
                  <w:r>
                    <w:rPr>
                      <w:rFonts w:cs="Miriam" w:hint="cs"/>
                      <w:szCs w:val="18"/>
                      <w:rtl/>
                    </w:rPr>
                    <w:t>כתב תשובה</w:t>
                  </w:r>
                </w:p>
              </w:txbxContent>
            </v:textbox>
            <w10:anchorlock/>
          </v:rect>
        </w:pict>
      </w:r>
      <w:r>
        <w:rPr>
          <w:rStyle w:val="big-number"/>
          <w:rtl/>
        </w:rPr>
        <w:t>6.</w:t>
      </w:r>
      <w:r>
        <w:rPr>
          <w:rStyle w:val="big-number"/>
          <w:rtl/>
        </w:rPr>
        <w:tab/>
      </w:r>
      <w:r w:rsidR="00D874F6">
        <w:rPr>
          <w:rStyle w:val="default"/>
          <w:rFonts w:cs="FrankRuehl" w:hint="cs"/>
          <w:rtl/>
        </w:rPr>
        <w:t>(א)</w:t>
      </w:r>
      <w:r w:rsidR="00D874F6">
        <w:rPr>
          <w:rStyle w:val="default"/>
          <w:rFonts w:cs="FrankRuehl"/>
          <w:rtl/>
        </w:rPr>
        <w:tab/>
      </w:r>
      <w:r w:rsidR="00D874F6">
        <w:rPr>
          <w:rStyle w:val="default"/>
          <w:rFonts w:cs="FrankRuehl" w:hint="cs"/>
          <w:rtl/>
        </w:rPr>
        <w:t>מיועדת לשירות ביטחון רשאית להגיש לוועדה כתב תשובה לבקשה לא יאוחר מ-10 ימים מיום שהומצא לה עותק של כתב הבקשה; יושב ראש הוועדה רשאי להאריך את המועד להגשת כתב התשובה, מטעמים שיירשמו, בשבעה ימים לכל היותר</w:t>
      </w:r>
      <w:r>
        <w:rPr>
          <w:rStyle w:val="default"/>
          <w:rFonts w:cs="FrankRuehl" w:hint="cs"/>
          <w:rtl/>
        </w:rPr>
        <w:t>.</w:t>
      </w:r>
    </w:p>
    <w:p w:rsidR="00D874F6" w:rsidRDefault="00D874F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9825A8">
        <w:rPr>
          <w:rStyle w:val="default"/>
          <w:rFonts w:cs="FrankRuehl" w:hint="cs"/>
          <w:rtl/>
        </w:rPr>
        <w:t>כתב התשובה יהיה חתום ביד המשיבה או בא כוחה.</w:t>
      </w:r>
    </w:p>
    <w:p w:rsidR="009825A8" w:rsidRDefault="009825A8">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כתב התשובה יוגש בשמונה עותקים ויישלח למען הוועדה בדואר רשום.</w:t>
      </w:r>
    </w:p>
    <w:p w:rsidR="009825A8" w:rsidRDefault="009825A8">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אלה הפרטים שיכיל כתב התשובה:</w:t>
      </w:r>
    </w:p>
    <w:p w:rsidR="009825A8" w:rsidRDefault="009825A8" w:rsidP="009825A8">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שם המיועדת לשירות ביטחון, מענה, מספר הזהות שלה, מספר הטלפון שלה, כתובת דוא"ל אם קיימת, והמען להמצאת הודעות ומסמכים מאת הוועדה;</w:t>
      </w:r>
    </w:p>
    <w:p w:rsidR="009825A8" w:rsidRDefault="009825A8" w:rsidP="009825A8">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תמצית התשובה;</w:t>
      </w:r>
    </w:p>
    <w:p w:rsidR="009825A8" w:rsidRDefault="009825A8" w:rsidP="009825A8">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העובדות שעליהן מסתמכת המיועדת לשירות ביטחון;</w:t>
      </w:r>
    </w:p>
    <w:p w:rsidR="009825A8" w:rsidRDefault="009825A8" w:rsidP="009825A8">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הנימוקים שעליהם מתבססת התשובה;</w:t>
      </w:r>
    </w:p>
    <w:p w:rsidR="009825A8" w:rsidRDefault="009825A8" w:rsidP="009825A8">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רשימת המסמכים שעליהם מתבססת התשובה.</w:t>
      </w:r>
    </w:p>
    <w:p w:rsidR="009825A8" w:rsidRDefault="009825A8">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העובדות בכתב התשובה יאומתו בתצהיר של המיועדת לשירות ביטחון לפי סעיף 15 לפקודת הראיות [נוסח חדש], התשל"א-1971, שיצורף לכתב התשובה.</w:t>
      </w:r>
    </w:p>
    <w:p w:rsidR="009825A8" w:rsidRDefault="009825A8">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לכל עותק של כתב התשובה יצורף העתק צילומי של כל מסמך שהמיועדת לשירות ביטחון מסתמכת עליו, ושמצוי ברשותה.</w:t>
      </w:r>
    </w:p>
    <w:p w:rsidR="009825A8" w:rsidRDefault="009825A8">
      <w:pPr>
        <w:pStyle w:val="P00"/>
        <w:spacing w:before="72"/>
        <w:ind w:left="0" w:right="1134"/>
        <w:rPr>
          <w:rStyle w:val="default"/>
          <w:rFonts w:cs="FrankRuehl"/>
          <w:rtl/>
        </w:rPr>
      </w:pPr>
      <w:r>
        <w:rPr>
          <w:rStyle w:val="default"/>
          <w:rFonts w:cs="FrankRuehl"/>
          <w:rtl/>
        </w:rPr>
        <w:tab/>
      </w:r>
      <w:r>
        <w:rPr>
          <w:rStyle w:val="default"/>
          <w:rFonts w:cs="FrankRuehl" w:hint="cs"/>
          <w:rtl/>
        </w:rPr>
        <w:t>(ז)</w:t>
      </w:r>
      <w:r>
        <w:rPr>
          <w:rStyle w:val="default"/>
          <w:rFonts w:cs="FrankRuehl"/>
          <w:rtl/>
        </w:rPr>
        <w:tab/>
      </w:r>
      <w:r>
        <w:rPr>
          <w:rStyle w:val="default"/>
          <w:rFonts w:cs="FrankRuehl" w:hint="cs"/>
          <w:rtl/>
        </w:rPr>
        <w:t>הוועדה תמציא לפוקד עותק מכתב התשובה, על מצורפיו, כאמור בתקנה זו.</w:t>
      </w:r>
    </w:p>
    <w:p w:rsidR="009825A8" w:rsidRDefault="009825A8">
      <w:pPr>
        <w:pStyle w:val="P00"/>
        <w:spacing w:before="72"/>
        <w:ind w:left="0" w:right="1134"/>
        <w:rPr>
          <w:rStyle w:val="default"/>
          <w:rFonts w:cs="FrankRuehl" w:hint="cs"/>
          <w:rtl/>
        </w:rPr>
      </w:pPr>
      <w:r>
        <w:rPr>
          <w:rStyle w:val="default"/>
          <w:rFonts w:cs="FrankRuehl"/>
          <w:rtl/>
        </w:rPr>
        <w:tab/>
      </w:r>
      <w:r>
        <w:rPr>
          <w:rStyle w:val="default"/>
          <w:rFonts w:cs="FrankRuehl" w:hint="cs"/>
          <w:rtl/>
        </w:rPr>
        <w:t>(ח)</w:t>
      </w:r>
      <w:r>
        <w:rPr>
          <w:rStyle w:val="default"/>
          <w:rFonts w:cs="FrankRuehl"/>
          <w:rtl/>
        </w:rPr>
        <w:tab/>
      </w:r>
      <w:r>
        <w:rPr>
          <w:rStyle w:val="default"/>
          <w:rFonts w:cs="FrankRuehl" w:hint="cs"/>
          <w:rtl/>
        </w:rPr>
        <w:t>רואים כתב תשובה שנשלח בדואר רשום אל מען הוועדה כפי שהופיעו בהודעת הפוקד אל המיועדת לשירות ביטחון, לפי תקנה זו, כאילו הגיע לידיעת הוועדה בתום 72 שעות מזמן שנמסר לדואר למשלוח; כתב תשובה שנמסר במסירה ידנית אל מען הוועדה ייראה כאילו</w:t>
      </w:r>
      <w:r w:rsidR="001A3B75">
        <w:rPr>
          <w:rStyle w:val="default"/>
          <w:rFonts w:cs="FrankRuehl" w:hint="cs"/>
          <w:rtl/>
        </w:rPr>
        <w:t xml:space="preserve"> הגיע אל הוועדה ביום מסירתו.</w:t>
      </w:r>
    </w:p>
    <w:p w:rsidR="003F0742" w:rsidRDefault="003F0742">
      <w:pPr>
        <w:pStyle w:val="P00"/>
        <w:spacing w:before="72"/>
        <w:ind w:left="0" w:right="1134"/>
        <w:rPr>
          <w:rStyle w:val="default"/>
          <w:rFonts w:cs="FrankRuehl"/>
          <w:rtl/>
        </w:rPr>
      </w:pPr>
      <w:bookmarkStart w:id="6" w:name="Seif7"/>
      <w:bookmarkEnd w:id="6"/>
      <w:r>
        <w:rPr>
          <w:lang w:val="he-IL"/>
        </w:rPr>
        <w:pict>
          <v:rect id="_x0000_s1032" style="position:absolute;left:0;text-align:left;margin-left:464.5pt;margin-top:8.05pt;width:75.05pt;height:19.05pt;z-index:251657216" o:allowincell="f" filled="f" stroked="f" strokecolor="lime" strokeweight=".25pt">
            <v:textbox inset="0,0,0,0">
              <w:txbxContent>
                <w:p w:rsidR="003F0742" w:rsidRDefault="001A3B75">
                  <w:pPr>
                    <w:spacing w:line="160" w:lineRule="exact"/>
                    <w:jc w:val="left"/>
                    <w:rPr>
                      <w:rFonts w:cs="Miriam"/>
                      <w:noProof/>
                      <w:szCs w:val="18"/>
                      <w:rtl/>
                    </w:rPr>
                  </w:pPr>
                  <w:r>
                    <w:rPr>
                      <w:rFonts w:cs="Miriam" w:hint="cs"/>
                      <w:szCs w:val="18"/>
                      <w:rtl/>
                    </w:rPr>
                    <w:t>תגובה לכתב התשובה</w:t>
                  </w:r>
                </w:p>
              </w:txbxContent>
            </v:textbox>
            <w10:anchorlock/>
          </v:rect>
        </w:pict>
      </w:r>
      <w:r>
        <w:rPr>
          <w:rStyle w:val="big-number"/>
          <w:rtl/>
        </w:rPr>
        <w:t>7</w:t>
      </w:r>
      <w:r w:rsidRPr="00A61B6E">
        <w:rPr>
          <w:rStyle w:val="default"/>
          <w:rFonts w:cs="FrankRuehl"/>
          <w:rtl/>
        </w:rPr>
        <w:t>.</w:t>
      </w:r>
      <w:r w:rsidRPr="00A61B6E">
        <w:rPr>
          <w:rStyle w:val="default"/>
          <w:rFonts w:cs="FrankRuehl"/>
          <w:rtl/>
        </w:rPr>
        <w:tab/>
      </w:r>
      <w:r w:rsidR="001A3B75">
        <w:rPr>
          <w:rStyle w:val="default"/>
          <w:rFonts w:cs="FrankRuehl" w:hint="cs"/>
          <w:rtl/>
        </w:rPr>
        <w:t>(א)</w:t>
      </w:r>
      <w:r w:rsidR="001A3B75">
        <w:rPr>
          <w:rStyle w:val="default"/>
          <w:rFonts w:cs="FrankRuehl"/>
          <w:rtl/>
        </w:rPr>
        <w:tab/>
      </w:r>
      <w:r w:rsidR="001A3B75">
        <w:rPr>
          <w:rStyle w:val="default"/>
          <w:rFonts w:cs="FrankRuehl" w:hint="cs"/>
          <w:rtl/>
        </w:rPr>
        <w:t>הפוקד או מי שהוסמך מטעמו רשאי להגיש תגובה לכתב התשובה לא יאוחר מ-5 ימים מיום שהומצא לו כתב התשובה; הפוקד ימציא את כתב התשובה למיועדת לשירות ביטחון.</w:t>
      </w:r>
    </w:p>
    <w:p w:rsidR="001A3B75" w:rsidRDefault="001A3B75">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העלתה המיועדת לשירות ביטחון בכתב התשובה עובדה או טענה שלא עמדו לפני הפוקד בעת הגשת הבקשה לביטול הפטור לוועדה, יובאו הדברים לפניו כדי שיבחן אם עדיין מתקיימים התנאים המצדיקים את הגשת הבקשה לביטול הפטור.</w:t>
      </w:r>
    </w:p>
    <w:p w:rsidR="00A61B6E" w:rsidRDefault="00A61B6E" w:rsidP="00A61B6E">
      <w:pPr>
        <w:pStyle w:val="P00"/>
        <w:spacing w:before="72"/>
        <w:ind w:left="0" w:right="1134"/>
        <w:rPr>
          <w:rStyle w:val="default"/>
          <w:rFonts w:cs="FrankRuehl"/>
          <w:rtl/>
        </w:rPr>
      </w:pPr>
      <w:bookmarkStart w:id="7" w:name="Seif8"/>
      <w:bookmarkEnd w:id="7"/>
      <w:r>
        <w:rPr>
          <w:lang w:val="he-IL"/>
        </w:rPr>
        <w:pict>
          <v:rect id="_x0000_s1033" style="position:absolute;left:0;text-align:left;margin-left:464.5pt;margin-top:8.05pt;width:75.05pt;height:11.4pt;z-index:251658240" o:allowincell="f" filled="f" stroked="f" strokecolor="lime" strokeweight=".25pt">
            <v:textbox inset="0,0,0,0">
              <w:txbxContent>
                <w:p w:rsidR="00A61B6E" w:rsidRDefault="001A3B75" w:rsidP="00A61B6E">
                  <w:pPr>
                    <w:spacing w:line="160" w:lineRule="exact"/>
                    <w:jc w:val="left"/>
                    <w:rPr>
                      <w:rFonts w:cs="Miriam"/>
                      <w:noProof/>
                      <w:szCs w:val="18"/>
                      <w:rtl/>
                    </w:rPr>
                  </w:pPr>
                  <w:r>
                    <w:rPr>
                      <w:rFonts w:cs="Miriam" w:hint="cs"/>
                      <w:szCs w:val="18"/>
                      <w:rtl/>
                    </w:rPr>
                    <w:t>הוראות המצאה</w:t>
                  </w:r>
                </w:p>
              </w:txbxContent>
            </v:textbox>
            <w10:anchorlock/>
          </v:rect>
        </w:pict>
      </w:r>
      <w:r w:rsidR="001A3B75">
        <w:rPr>
          <w:rStyle w:val="big-number"/>
          <w:rFonts w:hint="cs"/>
          <w:rtl/>
        </w:rPr>
        <w:t>8</w:t>
      </w:r>
      <w:r w:rsidRPr="00A61B6E">
        <w:rPr>
          <w:rStyle w:val="default"/>
          <w:rFonts w:cs="FrankRuehl"/>
          <w:rtl/>
        </w:rPr>
        <w:t>.</w:t>
      </w:r>
      <w:r w:rsidRPr="00A61B6E">
        <w:rPr>
          <w:rStyle w:val="default"/>
          <w:rFonts w:cs="FrankRuehl"/>
          <w:rtl/>
        </w:rPr>
        <w:tab/>
      </w:r>
      <w:r w:rsidR="001A3B75">
        <w:rPr>
          <w:rStyle w:val="default"/>
          <w:rFonts w:cs="FrankRuehl" w:hint="cs"/>
          <w:rtl/>
        </w:rPr>
        <w:t>הוראות סעיפים 55(ה)(1) ו-(2) לחוק יחולו על הזמנת המיועדת לשירות ביטחון לפי תקנה 5, המצאת כתב התשובה לפי תקנה 7 והמצאת החלטת הוועדה למיועדת לפי תקנה 14(ד).</w:t>
      </w:r>
    </w:p>
    <w:p w:rsidR="00A61B6E" w:rsidRDefault="00A61B6E" w:rsidP="00A61B6E">
      <w:pPr>
        <w:pStyle w:val="P00"/>
        <w:spacing w:before="72"/>
        <w:ind w:left="0" w:right="1134"/>
        <w:rPr>
          <w:rStyle w:val="default"/>
          <w:rFonts w:cs="FrankRuehl"/>
          <w:rtl/>
        </w:rPr>
      </w:pPr>
      <w:bookmarkStart w:id="8" w:name="Seif9"/>
      <w:bookmarkEnd w:id="8"/>
      <w:r>
        <w:rPr>
          <w:lang w:val="he-IL"/>
        </w:rPr>
        <w:pict>
          <v:rect id="_x0000_s1034" style="position:absolute;left:0;text-align:left;margin-left:464.5pt;margin-top:8.05pt;width:75.05pt;height:18.5pt;z-index:251659264" o:allowincell="f" filled="f" stroked="f" strokecolor="lime" strokeweight=".25pt">
            <v:textbox inset="0,0,0,0">
              <w:txbxContent>
                <w:p w:rsidR="00A61B6E" w:rsidRDefault="001A3B75" w:rsidP="00A61B6E">
                  <w:pPr>
                    <w:spacing w:line="160" w:lineRule="exact"/>
                    <w:jc w:val="left"/>
                    <w:rPr>
                      <w:rFonts w:cs="Miriam"/>
                      <w:noProof/>
                      <w:szCs w:val="18"/>
                      <w:rtl/>
                    </w:rPr>
                  </w:pPr>
                  <w:r>
                    <w:rPr>
                      <w:rFonts w:cs="Miriam" w:hint="cs"/>
                      <w:szCs w:val="18"/>
                      <w:rtl/>
                    </w:rPr>
                    <w:t>חזרת הפוקד מהבקשה לביטול הפטור</w:t>
                  </w:r>
                </w:p>
              </w:txbxContent>
            </v:textbox>
            <w10:anchorlock/>
          </v:rect>
        </w:pict>
      </w:r>
      <w:r w:rsidR="001A3B75">
        <w:rPr>
          <w:rStyle w:val="big-number"/>
          <w:rFonts w:hint="cs"/>
          <w:rtl/>
        </w:rPr>
        <w:t>9</w:t>
      </w:r>
      <w:r w:rsidRPr="00A61B6E">
        <w:rPr>
          <w:rStyle w:val="default"/>
          <w:rFonts w:cs="FrankRuehl"/>
          <w:rtl/>
        </w:rPr>
        <w:t>.</w:t>
      </w:r>
      <w:r w:rsidRPr="00A61B6E">
        <w:rPr>
          <w:rStyle w:val="default"/>
          <w:rFonts w:cs="FrankRuehl"/>
          <w:rtl/>
        </w:rPr>
        <w:tab/>
      </w:r>
      <w:r w:rsidR="001A3B75">
        <w:rPr>
          <w:rStyle w:val="default"/>
          <w:rFonts w:cs="FrankRuehl" w:hint="cs"/>
          <w:rtl/>
        </w:rPr>
        <w:t>רצה הפוקד לחזור בו מהבקשתו לביטול הפטור, יוכל לעשות כן בכל שלב משלבי הדיון, ויודיע על כך לוועדה ולמיועדת לשירות ביטחון.</w:t>
      </w:r>
    </w:p>
    <w:p w:rsidR="00A61B6E" w:rsidRDefault="00A61B6E" w:rsidP="00A61B6E">
      <w:pPr>
        <w:pStyle w:val="P00"/>
        <w:spacing w:before="72"/>
        <w:ind w:left="0" w:right="1134"/>
        <w:rPr>
          <w:rStyle w:val="default"/>
          <w:rFonts w:cs="FrankRuehl"/>
          <w:rtl/>
        </w:rPr>
      </w:pPr>
      <w:bookmarkStart w:id="9" w:name="Seif10"/>
      <w:bookmarkEnd w:id="9"/>
      <w:r>
        <w:rPr>
          <w:lang w:val="he-IL"/>
        </w:rPr>
        <w:pict>
          <v:rect id="_x0000_s1035" style="position:absolute;left:0;text-align:left;margin-left:464.5pt;margin-top:8.05pt;width:75.05pt;height:14.65pt;z-index:251660288" o:allowincell="f" filled="f" stroked="f" strokecolor="lime" strokeweight=".25pt">
            <v:textbox inset="0,0,0,0">
              <w:txbxContent>
                <w:p w:rsidR="00A61B6E" w:rsidRDefault="001A3B75" w:rsidP="00A61B6E">
                  <w:pPr>
                    <w:spacing w:line="160" w:lineRule="exact"/>
                    <w:jc w:val="left"/>
                    <w:rPr>
                      <w:rFonts w:cs="Miriam"/>
                      <w:noProof/>
                      <w:szCs w:val="18"/>
                      <w:rtl/>
                    </w:rPr>
                  </w:pPr>
                  <w:r>
                    <w:rPr>
                      <w:rFonts w:cs="Miriam" w:hint="cs"/>
                      <w:szCs w:val="18"/>
                      <w:rtl/>
                    </w:rPr>
                    <w:t>טיעון לפני הוועדה</w:t>
                  </w:r>
                </w:p>
              </w:txbxContent>
            </v:textbox>
            <w10:anchorlock/>
          </v:rect>
        </w:pict>
      </w:r>
      <w:r>
        <w:rPr>
          <w:rStyle w:val="big-number"/>
          <w:rFonts w:hint="cs"/>
          <w:rtl/>
        </w:rPr>
        <w:t>10</w:t>
      </w:r>
      <w:r w:rsidRPr="00A61B6E">
        <w:rPr>
          <w:rStyle w:val="default"/>
          <w:rFonts w:cs="FrankRuehl"/>
          <w:rtl/>
        </w:rPr>
        <w:t>.</w:t>
      </w:r>
      <w:r w:rsidRPr="00A61B6E">
        <w:rPr>
          <w:rStyle w:val="default"/>
          <w:rFonts w:cs="FrankRuehl"/>
          <w:rtl/>
        </w:rPr>
        <w:tab/>
      </w:r>
      <w:r w:rsidR="001A3B75">
        <w:rPr>
          <w:rStyle w:val="default"/>
          <w:rFonts w:cs="FrankRuehl" w:hint="cs"/>
          <w:rtl/>
        </w:rPr>
        <w:t>(א)</w:t>
      </w:r>
      <w:r w:rsidR="001A3B75">
        <w:rPr>
          <w:rStyle w:val="default"/>
          <w:rFonts w:cs="FrankRuehl"/>
          <w:rtl/>
        </w:rPr>
        <w:tab/>
      </w:r>
      <w:r w:rsidR="001A3B75">
        <w:rPr>
          <w:rStyle w:val="default"/>
          <w:rFonts w:cs="FrankRuehl" w:hint="cs"/>
          <w:rtl/>
        </w:rPr>
        <w:t>הוועדה תדון ותחליט בטענות וראיות שיציגו בעל פה הפוקד או מי שהוסמך מטעמו והמיועדת לשירות ביטחון, אם הופיעה לפני הוועדה בעצמה או בלוויית מי מטעמה, ואולם הוועדה רשאית לדון ולהחליט בבקשה על פי טענות וראיות שהוגשו בכתב בלבד, אם המיועדת לשירות ביטחון נמנעה מלהופיע לפני הוועדה.</w:t>
      </w:r>
    </w:p>
    <w:p w:rsidR="001A3B75" w:rsidRDefault="001A3B75" w:rsidP="00A61B6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467468">
        <w:rPr>
          <w:rStyle w:val="default"/>
          <w:rFonts w:cs="FrankRuehl" w:hint="cs"/>
          <w:rtl/>
        </w:rPr>
        <w:t>הוועדה תקיים דיון בתוך עשרה ימים מהמועד האחרון שבו רשאית היתה המיועדת לשירות ביטחון להגיש את כתב התשובה, ולא לפני המועד שבו רשאי הפוקד או מי שהוסמך מטעמו להגיש תגובה לכתב התשובה; ואולם רשאית הוועדה, מטעמים מיוחדים שיירשמו, לדחות מועד הדיון עד מועד שלא יחרוג מעבר ל-28 ימים, מיום שהומצא למיועדת לשירות ביטחון בקשת הפוקד לביטול הפטור.</w:t>
      </w:r>
    </w:p>
    <w:p w:rsidR="00467468" w:rsidRDefault="00467468" w:rsidP="00A61B6E">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הפעילה הוועדה את סמכותה לפי סעיף 40ד(ב) סיפה לחוק, להאריך את התקופה למתן החלטתה מטעמים מיוחדים שיירשמו </w:t>
      </w:r>
      <w:r>
        <w:rPr>
          <w:rStyle w:val="default"/>
          <w:rFonts w:cs="FrankRuehl"/>
          <w:rtl/>
        </w:rPr>
        <w:t>–</w:t>
      </w:r>
      <w:r>
        <w:rPr>
          <w:rStyle w:val="default"/>
          <w:rFonts w:cs="FrankRuehl" w:hint="cs"/>
          <w:rtl/>
        </w:rPr>
        <w:t xml:space="preserve"> רשאית היא לדחות את מועד הדיון מעבר למועד הקבוע בתקנת משנה (ב) אם התקיימו טעמים מיוחדים לכך.</w:t>
      </w:r>
    </w:p>
    <w:p w:rsidR="00A61B6E" w:rsidRDefault="00A61B6E" w:rsidP="00A61B6E">
      <w:pPr>
        <w:pStyle w:val="P00"/>
        <w:spacing w:before="72"/>
        <w:ind w:left="0" w:right="1134"/>
        <w:rPr>
          <w:rStyle w:val="default"/>
          <w:rFonts w:cs="FrankRuehl"/>
          <w:rtl/>
        </w:rPr>
      </w:pPr>
      <w:bookmarkStart w:id="10" w:name="Seif11"/>
      <w:bookmarkEnd w:id="10"/>
      <w:r>
        <w:rPr>
          <w:lang w:val="he-IL"/>
        </w:rPr>
        <w:pict>
          <v:rect id="_x0000_s1036" style="position:absolute;left:0;text-align:left;margin-left:464.5pt;margin-top:8.05pt;width:75.05pt;height:14.65pt;z-index:251661312" o:allowincell="f" filled="f" stroked="f" strokecolor="lime" strokeweight=".25pt">
            <v:textbox inset="0,0,0,0">
              <w:txbxContent>
                <w:p w:rsidR="00A61B6E" w:rsidRDefault="00467468" w:rsidP="00A61B6E">
                  <w:pPr>
                    <w:spacing w:line="160" w:lineRule="exact"/>
                    <w:jc w:val="left"/>
                    <w:rPr>
                      <w:rFonts w:cs="Miriam"/>
                      <w:noProof/>
                      <w:szCs w:val="18"/>
                      <w:rtl/>
                    </w:rPr>
                  </w:pPr>
                  <w:r>
                    <w:rPr>
                      <w:rFonts w:cs="Miriam" w:hint="cs"/>
                      <w:szCs w:val="18"/>
                      <w:rtl/>
                    </w:rPr>
                    <w:t>מסמכים שלא צורפו</w:t>
                  </w:r>
                </w:p>
              </w:txbxContent>
            </v:textbox>
            <w10:anchorlock/>
          </v:rect>
        </w:pict>
      </w:r>
      <w:r>
        <w:rPr>
          <w:rStyle w:val="big-number"/>
          <w:rFonts w:hint="cs"/>
          <w:rtl/>
        </w:rPr>
        <w:t>1</w:t>
      </w:r>
      <w:r w:rsidR="00467468">
        <w:rPr>
          <w:rStyle w:val="big-number"/>
          <w:rFonts w:hint="cs"/>
          <w:rtl/>
        </w:rPr>
        <w:t>1</w:t>
      </w:r>
      <w:r w:rsidRPr="00A61B6E">
        <w:rPr>
          <w:rStyle w:val="default"/>
          <w:rFonts w:cs="FrankRuehl"/>
          <w:rtl/>
        </w:rPr>
        <w:t>.</w:t>
      </w:r>
      <w:r w:rsidRPr="00A61B6E">
        <w:rPr>
          <w:rStyle w:val="default"/>
          <w:rFonts w:cs="FrankRuehl"/>
          <w:rtl/>
        </w:rPr>
        <w:tab/>
      </w:r>
      <w:r w:rsidR="00467468">
        <w:rPr>
          <w:rStyle w:val="default"/>
          <w:rFonts w:cs="FrankRuehl" w:hint="cs"/>
          <w:rtl/>
        </w:rPr>
        <w:t>לא הוגש מסמך לוועדה לפי תקנות אלה, אף שהוא מצוי ברשות המגיש, לא יסתמך עליו בעל דין בדיון, אלא ברשות הוועדה ומטעמים מיוחדים שיירשמו.</w:t>
      </w:r>
    </w:p>
    <w:p w:rsidR="00A61B6E" w:rsidRDefault="00A61B6E" w:rsidP="00A61B6E">
      <w:pPr>
        <w:pStyle w:val="P00"/>
        <w:spacing w:before="72"/>
        <w:ind w:left="0" w:right="1134"/>
        <w:rPr>
          <w:rStyle w:val="default"/>
          <w:rFonts w:cs="FrankRuehl"/>
          <w:rtl/>
        </w:rPr>
      </w:pPr>
      <w:bookmarkStart w:id="11" w:name="Seif12"/>
      <w:bookmarkEnd w:id="11"/>
      <w:r>
        <w:rPr>
          <w:lang w:val="he-IL"/>
        </w:rPr>
        <w:pict>
          <v:rect id="_x0000_s1037" style="position:absolute;left:0;text-align:left;margin-left:464.5pt;margin-top:8.05pt;width:75.05pt;height:27.8pt;z-index:251662336" o:allowincell="f" filled="f" stroked="f" strokecolor="lime" strokeweight=".25pt">
            <v:textbox inset="0,0,0,0">
              <w:txbxContent>
                <w:p w:rsidR="00A61B6E" w:rsidRDefault="00467468" w:rsidP="00A61B6E">
                  <w:pPr>
                    <w:spacing w:line="160" w:lineRule="exact"/>
                    <w:jc w:val="left"/>
                    <w:rPr>
                      <w:rFonts w:cs="Miriam"/>
                      <w:noProof/>
                      <w:szCs w:val="18"/>
                      <w:rtl/>
                    </w:rPr>
                  </w:pPr>
                  <w:r>
                    <w:rPr>
                      <w:rFonts w:cs="Miriam" w:hint="cs"/>
                      <w:szCs w:val="18"/>
                      <w:rtl/>
                    </w:rPr>
                    <w:t>החלטה בלא</w:t>
                  </w:r>
                  <w:r w:rsidR="00343B6E">
                    <w:rPr>
                      <w:rFonts w:cs="Miriam" w:hint="cs"/>
                      <w:szCs w:val="18"/>
                      <w:rtl/>
                    </w:rPr>
                    <w:t xml:space="preserve"> כתב תשובה או בהעדר התייצבות</w:t>
                  </w:r>
                </w:p>
              </w:txbxContent>
            </v:textbox>
            <w10:anchorlock/>
          </v:rect>
        </w:pict>
      </w:r>
      <w:r>
        <w:rPr>
          <w:rStyle w:val="big-number"/>
          <w:rFonts w:hint="cs"/>
          <w:rtl/>
        </w:rPr>
        <w:t>1</w:t>
      </w:r>
      <w:r w:rsidR="00467468">
        <w:rPr>
          <w:rStyle w:val="big-number"/>
          <w:rFonts w:hint="cs"/>
          <w:rtl/>
        </w:rPr>
        <w:t>2</w:t>
      </w:r>
      <w:r w:rsidRPr="00A61B6E">
        <w:rPr>
          <w:rStyle w:val="default"/>
          <w:rFonts w:cs="FrankRuehl"/>
          <w:rtl/>
        </w:rPr>
        <w:t>.</w:t>
      </w:r>
      <w:r w:rsidRPr="00A61B6E">
        <w:rPr>
          <w:rStyle w:val="default"/>
          <w:rFonts w:cs="FrankRuehl"/>
          <w:rtl/>
        </w:rPr>
        <w:tab/>
      </w:r>
      <w:r w:rsidR="001744B1">
        <w:rPr>
          <w:rStyle w:val="default"/>
          <w:rFonts w:cs="FrankRuehl" w:hint="cs"/>
          <w:rtl/>
        </w:rPr>
        <w:t>(א)</w:t>
      </w:r>
      <w:r w:rsidR="001744B1">
        <w:rPr>
          <w:rStyle w:val="default"/>
          <w:rFonts w:cs="FrankRuehl"/>
          <w:rtl/>
        </w:rPr>
        <w:tab/>
      </w:r>
      <w:r w:rsidR="001744B1">
        <w:rPr>
          <w:rStyle w:val="default"/>
          <w:rFonts w:cs="FrankRuehl" w:hint="cs"/>
          <w:rtl/>
        </w:rPr>
        <w:t>נמנעה המיועדת לשירות ביטחון מלהתייצב לדיון שנקבע לפני הועדה, רשאית הוועדה לתת החלטה בבקשה על סמך החומר שלפניה, או לדחות את הדיון למועד אחר.</w:t>
      </w:r>
    </w:p>
    <w:p w:rsidR="001744B1" w:rsidRDefault="001744B1" w:rsidP="00A61B6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נמנע הפוקד או מי מטעמו להתייצב לדיון, רשאית הוועדה לדחות את הדיון למועד אחר או למחוק את הבקשה.</w:t>
      </w:r>
    </w:p>
    <w:p w:rsidR="00A61B6E" w:rsidRDefault="00A61B6E" w:rsidP="00A61B6E">
      <w:pPr>
        <w:pStyle w:val="P00"/>
        <w:spacing w:before="72"/>
        <w:ind w:left="0" w:right="1134"/>
        <w:rPr>
          <w:rStyle w:val="default"/>
          <w:rFonts w:cs="FrankRuehl"/>
          <w:rtl/>
        </w:rPr>
      </w:pPr>
      <w:bookmarkStart w:id="12" w:name="Seif13"/>
      <w:bookmarkEnd w:id="12"/>
      <w:r>
        <w:rPr>
          <w:lang w:val="he-IL"/>
        </w:rPr>
        <w:pict>
          <v:rect id="_x0000_s1038" style="position:absolute;left:0;text-align:left;margin-left:464.5pt;margin-top:8.05pt;width:75.05pt;height:14.65pt;z-index:251663360" o:allowincell="f" filled="f" stroked="f" strokecolor="lime" strokeweight=".25pt">
            <v:textbox inset="0,0,0,0">
              <w:txbxContent>
                <w:p w:rsidR="00A61B6E" w:rsidRDefault="001744B1" w:rsidP="00A61B6E">
                  <w:pPr>
                    <w:spacing w:line="160" w:lineRule="exact"/>
                    <w:jc w:val="left"/>
                    <w:rPr>
                      <w:rFonts w:cs="Miriam"/>
                      <w:noProof/>
                      <w:szCs w:val="18"/>
                      <w:rtl/>
                    </w:rPr>
                  </w:pPr>
                  <w:r>
                    <w:rPr>
                      <w:rFonts w:cs="Miriam" w:hint="cs"/>
                      <w:szCs w:val="18"/>
                      <w:rtl/>
                    </w:rPr>
                    <w:t>פרוטוקול</w:t>
                  </w:r>
                </w:p>
              </w:txbxContent>
            </v:textbox>
            <w10:anchorlock/>
          </v:rect>
        </w:pict>
      </w:r>
      <w:r>
        <w:rPr>
          <w:rStyle w:val="big-number"/>
          <w:rFonts w:hint="cs"/>
          <w:rtl/>
        </w:rPr>
        <w:t>1</w:t>
      </w:r>
      <w:r w:rsidR="001744B1">
        <w:rPr>
          <w:rStyle w:val="big-number"/>
          <w:rFonts w:hint="cs"/>
          <w:rtl/>
        </w:rPr>
        <w:t>3</w:t>
      </w:r>
      <w:r w:rsidRPr="00A61B6E">
        <w:rPr>
          <w:rStyle w:val="default"/>
          <w:rFonts w:cs="FrankRuehl"/>
          <w:rtl/>
        </w:rPr>
        <w:t>.</w:t>
      </w:r>
      <w:r w:rsidRPr="00A61B6E">
        <w:rPr>
          <w:rStyle w:val="default"/>
          <w:rFonts w:cs="FrankRuehl"/>
          <w:rtl/>
        </w:rPr>
        <w:tab/>
      </w:r>
      <w:r w:rsidR="001744B1">
        <w:rPr>
          <w:rStyle w:val="default"/>
          <w:rFonts w:cs="FrankRuehl" w:hint="cs"/>
          <w:rtl/>
        </w:rPr>
        <w:t>(א)</w:t>
      </w:r>
      <w:r w:rsidR="001744B1">
        <w:rPr>
          <w:rStyle w:val="default"/>
          <w:rFonts w:cs="FrankRuehl"/>
          <w:rtl/>
        </w:rPr>
        <w:tab/>
      </w:r>
      <w:r w:rsidR="001744B1">
        <w:rPr>
          <w:rStyle w:val="default"/>
          <w:rFonts w:cs="FrankRuehl" w:hint="cs"/>
          <w:rtl/>
        </w:rPr>
        <w:t>יושב ראש הוועדה או מי שהוא קבע לצורך זה, ירשום פרוטוקול שישקף את הנאמר בדיון.</w:t>
      </w:r>
    </w:p>
    <w:p w:rsidR="001744B1" w:rsidRDefault="001744B1" w:rsidP="00A61B6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פרוטוקול יכול שייערך גם בדרך של הקלטה או באופן אחר שיקבע יושב ראש הוועדה, ובלבד שפרוטוקול שנערך כאמור, יועלה על הכתב ויצורף לתיק הדיון.</w:t>
      </w:r>
    </w:p>
    <w:p w:rsidR="001744B1" w:rsidRDefault="001744B1" w:rsidP="00A61B6E">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יושב ראש הוועדה או מי שהוא קבע לצורך זה יחתום על הפרוטוקול; עותק מהפרוטוקול יימסר לצדדים בתום הדיון ואם לא היה הדבר אפשרי, מוקדם ככל האפשר בסמוך לתום הדיון.</w:t>
      </w:r>
    </w:p>
    <w:p w:rsidR="00A61B6E" w:rsidRDefault="00A61B6E" w:rsidP="00A61B6E">
      <w:pPr>
        <w:pStyle w:val="P00"/>
        <w:spacing w:before="72"/>
        <w:ind w:left="0" w:right="1134"/>
        <w:rPr>
          <w:rStyle w:val="default"/>
          <w:rFonts w:cs="FrankRuehl"/>
          <w:rtl/>
        </w:rPr>
      </w:pPr>
      <w:bookmarkStart w:id="13" w:name="Seif14"/>
      <w:bookmarkEnd w:id="13"/>
      <w:r>
        <w:rPr>
          <w:lang w:val="he-IL"/>
        </w:rPr>
        <w:pict>
          <v:rect id="_x0000_s1039" style="position:absolute;left:0;text-align:left;margin-left:464.5pt;margin-top:8.05pt;width:75.05pt;height:14.65pt;z-index:251664384" o:allowincell="f" filled="f" stroked="f" strokecolor="lime" strokeweight=".25pt">
            <v:textbox inset="0,0,0,0">
              <w:txbxContent>
                <w:p w:rsidR="00A61B6E" w:rsidRDefault="001744B1" w:rsidP="00A61B6E">
                  <w:pPr>
                    <w:spacing w:line="160" w:lineRule="exact"/>
                    <w:jc w:val="left"/>
                    <w:rPr>
                      <w:rFonts w:cs="Miriam"/>
                      <w:noProof/>
                      <w:szCs w:val="18"/>
                      <w:rtl/>
                    </w:rPr>
                  </w:pPr>
                  <w:r>
                    <w:rPr>
                      <w:rFonts w:cs="Miriam" w:hint="cs"/>
                      <w:szCs w:val="18"/>
                      <w:rtl/>
                    </w:rPr>
                    <w:t>החלטה</w:t>
                  </w:r>
                </w:p>
              </w:txbxContent>
            </v:textbox>
            <w10:anchorlock/>
          </v:rect>
        </w:pict>
      </w:r>
      <w:r>
        <w:rPr>
          <w:rStyle w:val="big-number"/>
          <w:rFonts w:hint="cs"/>
          <w:rtl/>
        </w:rPr>
        <w:t>1</w:t>
      </w:r>
      <w:r w:rsidR="001744B1">
        <w:rPr>
          <w:rStyle w:val="big-number"/>
          <w:rFonts w:hint="cs"/>
          <w:rtl/>
        </w:rPr>
        <w:t>4</w:t>
      </w:r>
      <w:r w:rsidRPr="00A61B6E">
        <w:rPr>
          <w:rStyle w:val="default"/>
          <w:rFonts w:cs="FrankRuehl"/>
          <w:rtl/>
        </w:rPr>
        <w:t>.</w:t>
      </w:r>
      <w:r w:rsidRPr="00A61B6E">
        <w:rPr>
          <w:rStyle w:val="default"/>
          <w:rFonts w:cs="FrankRuehl"/>
          <w:rtl/>
        </w:rPr>
        <w:tab/>
      </w:r>
      <w:r w:rsidR="001744B1">
        <w:rPr>
          <w:rStyle w:val="default"/>
          <w:rFonts w:cs="FrankRuehl" w:hint="cs"/>
          <w:rtl/>
        </w:rPr>
        <w:t>(א)</w:t>
      </w:r>
      <w:r w:rsidR="001744B1">
        <w:rPr>
          <w:rStyle w:val="default"/>
          <w:rFonts w:cs="FrankRuehl"/>
          <w:rtl/>
        </w:rPr>
        <w:tab/>
      </w:r>
      <w:r w:rsidR="001744B1">
        <w:rPr>
          <w:rStyle w:val="default"/>
          <w:rFonts w:cs="FrankRuehl" w:hint="cs"/>
          <w:rtl/>
        </w:rPr>
        <w:t>נחלקו הדעות בוועדה, תכריע דעת הרוב; היו הדעות שקולות תכריע דעת יושב ראש הוועדה.</w:t>
      </w:r>
    </w:p>
    <w:p w:rsidR="001744B1" w:rsidRDefault="001744B1" w:rsidP="00A61B6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הוועדה תיתן את החלטתה בבקשה בתום הדיון, או במועד סמוך ככל האפשר לתום הדיון, ובכפוף לאמור בסעיף 40ד(ב) לחוק.</w:t>
      </w:r>
    </w:p>
    <w:p w:rsidR="001744B1" w:rsidRDefault="001744B1" w:rsidP="00A61B6E">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החלטת הוועדה תהיה מנומקת, תינתן בכתב ותיחתם בידי חברי הוועדה.</w:t>
      </w:r>
    </w:p>
    <w:p w:rsidR="001744B1" w:rsidRDefault="001744B1" w:rsidP="00A61B6E">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הוועדה תציין בהחלטה את זכות הערעור על החלטתה לבית המשפט לעניינים מינהליים לפי סעיף 40ה לחוק, ואת המועד להגשת הערעור שיחול מיום המצאת ההחלטה למיועדת לשירות ביטחון, לפי תקנות בתי משפט לעניינים מינהליים (סדרי דין), התשס"א-2000.</w:t>
      </w:r>
    </w:p>
    <w:p w:rsidR="001744B1" w:rsidRDefault="001744B1" w:rsidP="00A61B6E">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ההחלטה תימסר לצדדים או תומצא להם בדואר רשום.</w:t>
      </w:r>
    </w:p>
    <w:p w:rsidR="003F0742" w:rsidRDefault="003F0742">
      <w:pPr>
        <w:pStyle w:val="P00"/>
        <w:spacing w:before="72"/>
        <w:ind w:left="0" w:right="1134"/>
        <w:rPr>
          <w:rStyle w:val="default"/>
          <w:rFonts w:cs="FrankRuehl"/>
          <w:rtl/>
        </w:rPr>
      </w:pPr>
    </w:p>
    <w:p w:rsidR="003F0742" w:rsidRDefault="003F0742" w:rsidP="00A61B6E">
      <w:pPr>
        <w:pStyle w:val="P00"/>
        <w:spacing w:before="72"/>
        <w:ind w:left="0" w:right="1134"/>
        <w:rPr>
          <w:rStyle w:val="default"/>
          <w:rFonts w:cs="FrankRuehl" w:hint="cs"/>
          <w:rtl/>
        </w:rPr>
      </w:pPr>
    </w:p>
    <w:p w:rsidR="003F0742" w:rsidRDefault="001744B1" w:rsidP="00AE01E5">
      <w:pPr>
        <w:pStyle w:val="sig-0"/>
        <w:tabs>
          <w:tab w:val="clear" w:pos="4820"/>
          <w:tab w:val="center" w:pos="5670"/>
        </w:tabs>
        <w:spacing w:before="72"/>
        <w:ind w:left="0" w:right="1134"/>
        <w:rPr>
          <w:rtl/>
        </w:rPr>
      </w:pPr>
      <w:r>
        <w:rPr>
          <w:rFonts w:hint="cs"/>
          <w:rtl/>
        </w:rPr>
        <w:t>י"ב באדר התשע"ח (27 בפברואר 2018</w:t>
      </w:r>
      <w:r w:rsidR="003F0742">
        <w:rPr>
          <w:rFonts w:hint="cs"/>
          <w:rtl/>
        </w:rPr>
        <w:t>)</w:t>
      </w:r>
      <w:r w:rsidR="003F0742">
        <w:rPr>
          <w:rtl/>
        </w:rPr>
        <w:tab/>
      </w:r>
      <w:r>
        <w:rPr>
          <w:rFonts w:hint="cs"/>
          <w:rtl/>
        </w:rPr>
        <w:t>אביגדור ליברמן</w:t>
      </w:r>
    </w:p>
    <w:p w:rsidR="003F0742" w:rsidRDefault="003F0742" w:rsidP="00AE01E5">
      <w:pPr>
        <w:pStyle w:val="sig-1"/>
        <w:widowControl/>
        <w:tabs>
          <w:tab w:val="clear" w:pos="851"/>
          <w:tab w:val="clear" w:pos="2835"/>
          <w:tab w:val="clear" w:pos="4820"/>
          <w:tab w:val="center" w:pos="5670"/>
        </w:tabs>
        <w:ind w:left="0" w:right="1134"/>
        <w:rPr>
          <w:rFonts w:hint="cs"/>
          <w:rtl/>
        </w:rPr>
      </w:pPr>
      <w:r>
        <w:rPr>
          <w:rtl/>
        </w:rPr>
        <w:tab/>
      </w:r>
      <w:r>
        <w:rPr>
          <w:rFonts w:hint="cs"/>
          <w:rtl/>
        </w:rPr>
        <w:t>שר הב</w:t>
      </w:r>
      <w:r w:rsidR="001744B1">
        <w:rPr>
          <w:rFonts w:hint="cs"/>
          <w:rtl/>
        </w:rPr>
        <w:t>י</w:t>
      </w:r>
      <w:r>
        <w:rPr>
          <w:rFonts w:hint="cs"/>
          <w:rtl/>
        </w:rPr>
        <w:t>טחון</w:t>
      </w:r>
    </w:p>
    <w:p w:rsidR="00A61B6E" w:rsidRDefault="00A61B6E">
      <w:pPr>
        <w:pStyle w:val="P00"/>
        <w:spacing w:before="72"/>
        <w:ind w:left="0" w:right="1134"/>
        <w:rPr>
          <w:rStyle w:val="default"/>
          <w:rFonts w:cs="FrankRuehl"/>
          <w:rtl/>
        </w:rPr>
      </w:pPr>
    </w:p>
    <w:p w:rsidR="00A61B6E" w:rsidRDefault="00A61B6E">
      <w:pPr>
        <w:pStyle w:val="P00"/>
        <w:spacing w:before="72"/>
        <w:ind w:left="0" w:right="1134"/>
        <w:rPr>
          <w:rStyle w:val="default"/>
          <w:rFonts w:cs="FrankRuehl"/>
          <w:rtl/>
        </w:rPr>
      </w:pPr>
    </w:p>
    <w:p w:rsidR="00E56E6C" w:rsidRDefault="00E56E6C">
      <w:pPr>
        <w:pStyle w:val="P00"/>
        <w:spacing w:before="72"/>
        <w:ind w:left="0" w:right="1134"/>
        <w:rPr>
          <w:rStyle w:val="default"/>
          <w:rFonts w:cs="FrankRuehl"/>
          <w:rtl/>
        </w:rPr>
      </w:pPr>
    </w:p>
    <w:p w:rsidR="00E56E6C" w:rsidRDefault="00E56E6C">
      <w:pPr>
        <w:pStyle w:val="P00"/>
        <w:spacing w:before="72"/>
        <w:ind w:left="0" w:right="1134"/>
        <w:rPr>
          <w:rStyle w:val="default"/>
          <w:rFonts w:cs="FrankRuehl"/>
          <w:rtl/>
        </w:rPr>
      </w:pPr>
    </w:p>
    <w:p w:rsidR="00E56E6C" w:rsidRDefault="00E56E6C" w:rsidP="00E56E6C">
      <w:pPr>
        <w:pStyle w:val="P00"/>
        <w:spacing w:before="72"/>
        <w:ind w:left="0" w:right="1134"/>
        <w:jc w:val="center"/>
        <w:rPr>
          <w:rStyle w:val="default"/>
          <w:rFonts w:cs="David"/>
          <w:color w:val="0000FF"/>
          <w:szCs w:val="24"/>
          <w:u w:val="single"/>
          <w:rtl/>
        </w:rPr>
      </w:pPr>
      <w:hyperlink r:id="rId6" w:history="1">
        <w:r>
          <w:rPr>
            <w:rStyle w:val="Hyperlink"/>
            <w:rFonts w:cs="David"/>
            <w:noProof w:val="0"/>
            <w:sz w:val="22"/>
            <w:szCs w:val="24"/>
            <w:rtl/>
          </w:rPr>
          <w:t>הודעה למנויים על עריכה ושינויים במסמכי פסיקה, חקיקה ועוד באתר נבו - הקש כאן</w:t>
        </w:r>
      </w:hyperlink>
    </w:p>
    <w:p w:rsidR="00A61B6E" w:rsidRPr="00E56E6C" w:rsidRDefault="00A61B6E" w:rsidP="00E56E6C">
      <w:pPr>
        <w:pStyle w:val="P00"/>
        <w:spacing w:before="72"/>
        <w:ind w:left="0" w:right="1134"/>
        <w:jc w:val="center"/>
        <w:rPr>
          <w:rStyle w:val="default"/>
          <w:rFonts w:cs="David"/>
          <w:color w:val="0000FF"/>
          <w:szCs w:val="24"/>
          <w:u w:val="single"/>
          <w:rtl/>
        </w:rPr>
      </w:pPr>
    </w:p>
    <w:sectPr w:rsidR="00A61B6E" w:rsidRPr="00E56E6C">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C077A" w:rsidRDefault="008C077A">
      <w:r>
        <w:separator/>
      </w:r>
    </w:p>
  </w:endnote>
  <w:endnote w:type="continuationSeparator" w:id="0">
    <w:p w:rsidR="008C077A" w:rsidRDefault="008C0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F0742" w:rsidRDefault="003F074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3F0742" w:rsidRDefault="003F074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3F0742" w:rsidRDefault="003F074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C:\Yael\hakika\Revadim\P199_031.doc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F0742" w:rsidRDefault="003F074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56E6C">
      <w:rPr>
        <w:rFonts w:hAnsi="FrankRuehl" w:cs="FrankRuehl"/>
        <w:noProof/>
        <w:sz w:val="24"/>
        <w:szCs w:val="24"/>
        <w:rtl/>
      </w:rPr>
      <w:t>5</w:t>
    </w:r>
    <w:r>
      <w:rPr>
        <w:rFonts w:hAnsi="FrankRuehl" w:cs="FrankRuehl"/>
        <w:sz w:val="24"/>
        <w:szCs w:val="24"/>
        <w:rtl/>
      </w:rPr>
      <w:fldChar w:fldCharType="end"/>
    </w:r>
  </w:p>
  <w:p w:rsidR="003F0742" w:rsidRDefault="003F074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3F0742" w:rsidRDefault="003F074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C:\Yael\hakika\Revadim\P199_031.doc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C077A" w:rsidRDefault="008C077A">
      <w:pPr>
        <w:spacing w:before="60" w:line="240" w:lineRule="auto"/>
        <w:ind w:right="1134"/>
      </w:pPr>
      <w:r>
        <w:separator/>
      </w:r>
    </w:p>
  </w:footnote>
  <w:footnote w:type="continuationSeparator" w:id="0">
    <w:p w:rsidR="008C077A" w:rsidRDefault="008C077A">
      <w:r>
        <w:continuationSeparator/>
      </w:r>
    </w:p>
  </w:footnote>
  <w:footnote w:id="1">
    <w:p w:rsidR="005662F6" w:rsidRDefault="003F0742" w:rsidP="005662F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sidRPr="005662F6">
          <w:rPr>
            <w:rStyle w:val="Hyperlink"/>
            <w:rFonts w:hint="cs"/>
            <w:sz w:val="20"/>
            <w:rtl/>
          </w:rPr>
          <w:t>ק"ת תש</w:t>
        </w:r>
        <w:r w:rsidR="00A61B6E" w:rsidRPr="005662F6">
          <w:rPr>
            <w:rStyle w:val="Hyperlink"/>
            <w:rFonts w:hint="cs"/>
            <w:sz w:val="20"/>
            <w:rtl/>
          </w:rPr>
          <w:t>ע</w:t>
        </w:r>
        <w:r w:rsidRPr="005662F6">
          <w:rPr>
            <w:rStyle w:val="Hyperlink"/>
            <w:rFonts w:hint="cs"/>
            <w:sz w:val="20"/>
            <w:rtl/>
          </w:rPr>
          <w:t xml:space="preserve">"ח מס' </w:t>
        </w:r>
        <w:r w:rsidR="00A61B6E" w:rsidRPr="005662F6">
          <w:rPr>
            <w:rStyle w:val="Hyperlink"/>
            <w:rFonts w:hint="cs"/>
            <w:sz w:val="20"/>
            <w:rtl/>
          </w:rPr>
          <w:t>7982</w:t>
        </w:r>
      </w:hyperlink>
      <w:r>
        <w:rPr>
          <w:rFonts w:hint="cs"/>
          <w:sz w:val="20"/>
          <w:rtl/>
        </w:rPr>
        <w:t xml:space="preserve"> מיום </w:t>
      </w:r>
      <w:r w:rsidR="00A61B6E">
        <w:rPr>
          <w:rFonts w:hint="cs"/>
          <w:sz w:val="20"/>
          <w:rtl/>
        </w:rPr>
        <w:t>10.4.2018</w:t>
      </w:r>
      <w:r>
        <w:rPr>
          <w:rFonts w:hint="cs"/>
          <w:sz w:val="20"/>
          <w:rtl/>
        </w:rPr>
        <w:t xml:space="preserve"> עמ' </w:t>
      </w:r>
      <w:r w:rsidR="00A61B6E">
        <w:rPr>
          <w:rFonts w:hint="cs"/>
          <w:sz w:val="20"/>
          <w:rtl/>
        </w:rPr>
        <w:t>1760</w:t>
      </w:r>
      <w:r>
        <w:rPr>
          <w:rFonts w:hint="cs"/>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F0742" w:rsidRDefault="003F074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שירות בטחון (פטור נשים משירות בטחון מטעמים שבהכרה דתית), תשל"ח–1978</w:t>
    </w:r>
  </w:p>
  <w:p w:rsidR="003F0742" w:rsidRDefault="003F074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3F0742" w:rsidRDefault="003F0742">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F0742" w:rsidRDefault="003F074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שירות ב</w:t>
    </w:r>
    <w:r w:rsidR="00A61B6E">
      <w:rPr>
        <w:rFonts w:hAnsi="FrankRuehl" w:cs="FrankRuehl" w:hint="cs"/>
        <w:color w:val="000000"/>
        <w:sz w:val="28"/>
        <w:szCs w:val="28"/>
        <w:rtl/>
      </w:rPr>
      <w:t>י</w:t>
    </w:r>
    <w:r>
      <w:rPr>
        <w:rFonts w:hAnsi="FrankRuehl" w:cs="FrankRuehl"/>
        <w:color w:val="000000"/>
        <w:sz w:val="28"/>
        <w:szCs w:val="28"/>
        <w:rtl/>
      </w:rPr>
      <w:t>טחון (</w:t>
    </w:r>
    <w:r w:rsidR="00A61B6E">
      <w:rPr>
        <w:rFonts w:hAnsi="FrankRuehl" w:cs="FrankRuehl" w:hint="cs"/>
        <w:color w:val="000000"/>
        <w:sz w:val="28"/>
        <w:szCs w:val="28"/>
        <w:rtl/>
      </w:rPr>
      <w:t>הרכב הוועדה לבחינת פטור מטעמי הכרה דתית וסדרי הדין בה) (הוראת שעה), תשע"ח-2018</w:t>
    </w:r>
  </w:p>
  <w:p w:rsidR="003F0742" w:rsidRDefault="003F074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3F0742" w:rsidRDefault="003F0742">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F13A3"/>
    <w:rsid w:val="00104CCC"/>
    <w:rsid w:val="001744B1"/>
    <w:rsid w:val="001A3B75"/>
    <w:rsid w:val="002C2A91"/>
    <w:rsid w:val="00343B6E"/>
    <w:rsid w:val="0035067E"/>
    <w:rsid w:val="003E3FE5"/>
    <w:rsid w:val="003F0742"/>
    <w:rsid w:val="0041462C"/>
    <w:rsid w:val="00467468"/>
    <w:rsid w:val="005662F6"/>
    <w:rsid w:val="00573D40"/>
    <w:rsid w:val="006C0AD3"/>
    <w:rsid w:val="006F0B84"/>
    <w:rsid w:val="00856205"/>
    <w:rsid w:val="00866824"/>
    <w:rsid w:val="008A445D"/>
    <w:rsid w:val="008C077A"/>
    <w:rsid w:val="009825A8"/>
    <w:rsid w:val="009B3903"/>
    <w:rsid w:val="009D68A6"/>
    <w:rsid w:val="00A61B6E"/>
    <w:rsid w:val="00AE01E5"/>
    <w:rsid w:val="00BA6CDD"/>
    <w:rsid w:val="00D874F6"/>
    <w:rsid w:val="00DF06E9"/>
    <w:rsid w:val="00DF13A3"/>
    <w:rsid w:val="00E56E6C"/>
    <w:rsid w:val="00FB49A2"/>
    <w:rsid w:val="00FD48F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01F611C6-8903-4054-93F6-E60E90130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3">
    <w:name w:val="P03"/>
    <w:basedOn w:val="P00"/>
    <w:pPr>
      <w:ind w:right="1474" w:hanging="1474"/>
    </w:p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98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1520</Words>
  <Characters>8669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פרק 199</vt:lpstr>
    </vt:vector>
  </TitlesOfParts>
  <Company/>
  <LinksUpToDate>false</LinksUpToDate>
  <CharactersWithSpaces>10169</CharactersWithSpaces>
  <SharedDoc>false</SharedDoc>
  <HLinks>
    <vt:vector size="96" baseType="variant">
      <vt:variant>
        <vt:i4>393283</vt:i4>
      </vt:variant>
      <vt:variant>
        <vt:i4>84</vt:i4>
      </vt:variant>
      <vt:variant>
        <vt:i4>0</vt:i4>
      </vt:variant>
      <vt:variant>
        <vt:i4>5</vt:i4>
      </vt:variant>
      <vt:variant>
        <vt:lpwstr>http://www.nevo.co.il/advertisements/nevo-100.doc</vt:lpwstr>
      </vt:variant>
      <vt:variant>
        <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7733251</vt:i4>
      </vt:variant>
      <vt:variant>
        <vt:i4>0</vt:i4>
      </vt:variant>
      <vt:variant>
        <vt:i4>0</vt:i4>
      </vt:variant>
      <vt:variant>
        <vt:i4>5</vt:i4>
      </vt:variant>
      <vt:variant>
        <vt:lpwstr>http://www.nevo.co.il/Law_word/law06/tak-7982.pdf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2023-06-05T20:39:00Z</dcterms:created>
  <dcterms:modified xsi:type="dcterms:W3CDTF">2023-06-05T20:39:00Z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צבא-הגנה לישראל</vt:lpwstr>
  </property>
  <property fmtid="{D5CDD505-2E9C-101B-9397-08002B2CF9AE}" pid="4" name="LAWNAME">
    <vt:lpwstr>תקנות שירות ביטחון (הרכב הוועדה לבחינת פטור מטעמי הכרה דתית וסדרי הדין בה) (הוראת שעה), תשע"ח-2018</vt:lpwstr>
  </property>
  <property fmtid="{D5CDD505-2E9C-101B-9397-08002B2CF9AE}" pid="5" name="LAWNUMBER">
    <vt:lpwstr>0817</vt:lpwstr>
  </property>
  <property fmtid="{D5CDD505-2E9C-101B-9397-08002B2CF9AE}" pid="6" name="TYPE">
    <vt:lpwstr>01</vt:lpwstr>
  </property>
  <property fmtid="{D5CDD505-2E9C-101B-9397-08002B2CF9AE}" pid="7" name="NOSE11">
    <vt:lpwstr>בטחון</vt:lpwstr>
  </property>
  <property fmtid="{D5CDD505-2E9C-101B-9397-08002B2CF9AE}" pid="8" name="NOSE21">
    <vt:lpwstr>צה"ל</vt:lpwstr>
  </property>
  <property fmtid="{D5CDD505-2E9C-101B-9397-08002B2CF9AE}" pid="9" name="NOSE31">
    <vt:lpwstr>שירות בטחון</vt:lpwstr>
  </property>
  <property fmtid="{D5CDD505-2E9C-101B-9397-08002B2CF9AE}" pid="10" name="NOSE41">
    <vt:lpwstr>פטור</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שירות בטחון [נוסח משולב]</vt:lpwstr>
  </property>
  <property fmtid="{D5CDD505-2E9C-101B-9397-08002B2CF9AE}" pid="48" name="MEKOR_SAIF1">
    <vt:lpwstr>40גX</vt:lpwstr>
  </property>
  <property fmtid="{D5CDD505-2E9C-101B-9397-08002B2CF9AE}" pid="49" name="MEKORSAMCHUT">
    <vt:lpwstr/>
  </property>
  <property fmtid="{D5CDD505-2E9C-101B-9397-08002B2CF9AE}" pid="50" name="LINKK1">
    <vt:lpwstr>http://www.nevo.co.il/Law_word/law06/tak-7982.pdf;‎רשומות - תקנות כלליות#פורסמו ק"ת תשע"ח ‏מס' 7982 #מיום 10.4.2018 עמ' 1760‏</vt:lpwstr>
  </property>
  <property fmtid="{D5CDD505-2E9C-101B-9397-08002B2CF9AE}" pid="51" name="LINKK2">
    <vt:lpwstr/>
  </property>
  <property fmtid="{D5CDD505-2E9C-101B-9397-08002B2CF9AE}" pid="52" name="LINKK3">
    <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