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7A8C0" w14:textId="77777777" w:rsidR="00207778" w:rsidRDefault="00207778">
      <w:pPr>
        <w:pStyle w:val="big-header"/>
        <w:ind w:left="0" w:right="1134"/>
        <w:rPr>
          <w:rStyle w:val="default"/>
          <w:rFonts w:cs="FrankRuehl" w:hint="cs"/>
          <w:rtl/>
        </w:rPr>
      </w:pPr>
      <w:r>
        <w:rPr>
          <w:rFonts w:hint="cs"/>
          <w:rtl/>
        </w:rPr>
        <w:t>תקנות שירות הביטחון הכללי (הודעה למעביד בדבר דרישות סיווג ביטחוני לעובדיו, הודעה לאדם בדבר אי התאמה ביטחונית וועדת השגה על קביעת אי התאמה ביטחונית), תשס"ג-2003</w:t>
      </w:r>
      <w:r>
        <w:rPr>
          <w:rStyle w:val="default"/>
          <w:sz w:val="22"/>
          <w:szCs w:val="22"/>
          <w:rtl/>
        </w:rPr>
        <w:footnoteReference w:customMarkFollows="1" w:id="1"/>
        <w:t>*</w:t>
      </w:r>
    </w:p>
    <w:p w14:paraId="2871B873" w14:textId="77777777" w:rsidR="00E17E95" w:rsidRPr="00E17E95" w:rsidRDefault="00E17E95" w:rsidP="00E17E95">
      <w:pPr>
        <w:spacing w:line="320" w:lineRule="auto"/>
        <w:jc w:val="left"/>
        <w:rPr>
          <w:rStyle w:val="default"/>
          <w:rFonts w:cs="FrankRuehl"/>
          <w:rtl/>
        </w:rPr>
      </w:pPr>
    </w:p>
    <w:p w14:paraId="2DBDE06E" w14:textId="77777777" w:rsidR="00E17E95" w:rsidRDefault="00E17E95" w:rsidP="00E17E95">
      <w:pPr>
        <w:spacing w:line="320" w:lineRule="auto"/>
        <w:jc w:val="left"/>
        <w:rPr>
          <w:rStyle w:val="default"/>
          <w:rFonts w:cs="FrankRuehl"/>
          <w:rtl/>
        </w:rPr>
      </w:pPr>
    </w:p>
    <w:p w14:paraId="6857AED4" w14:textId="77777777" w:rsidR="00E17E95" w:rsidRDefault="00E17E95" w:rsidP="00E17E95">
      <w:pPr>
        <w:spacing w:line="320" w:lineRule="auto"/>
        <w:jc w:val="left"/>
        <w:rPr>
          <w:rStyle w:val="default"/>
          <w:rFonts w:cs="FrankRuehl"/>
          <w:rtl/>
        </w:rPr>
      </w:pPr>
      <w:r w:rsidRPr="00E17E95">
        <w:rPr>
          <w:rStyle w:val="default"/>
          <w:rFonts w:cs="Miriam"/>
          <w:szCs w:val="22"/>
          <w:rtl/>
        </w:rPr>
        <w:t>בטחון</w:t>
      </w:r>
      <w:r w:rsidRPr="00E17E95">
        <w:rPr>
          <w:rStyle w:val="default"/>
          <w:rFonts w:cs="FrankRuehl"/>
          <w:rtl/>
        </w:rPr>
        <w:t xml:space="preserve"> – שירות הביטחון הכללי</w:t>
      </w:r>
    </w:p>
    <w:p w14:paraId="06DAF72D" w14:textId="77777777" w:rsidR="00E17E95" w:rsidRDefault="00E17E95" w:rsidP="00E17E95">
      <w:pPr>
        <w:spacing w:line="320" w:lineRule="auto"/>
        <w:jc w:val="left"/>
        <w:rPr>
          <w:rStyle w:val="default"/>
          <w:rFonts w:cs="FrankRuehl"/>
          <w:rtl/>
        </w:rPr>
      </w:pPr>
      <w:r w:rsidRPr="00E17E95">
        <w:rPr>
          <w:rStyle w:val="default"/>
          <w:rFonts w:cs="Miriam"/>
          <w:szCs w:val="22"/>
          <w:rtl/>
        </w:rPr>
        <w:t>עבודה</w:t>
      </w:r>
      <w:r w:rsidRPr="00E17E95">
        <w:rPr>
          <w:rStyle w:val="default"/>
          <w:rFonts w:cs="FrankRuehl"/>
          <w:rtl/>
        </w:rPr>
        <w:t xml:space="preserve"> – העסקת קבוצות מסוימות  – כוחות הבטחון </w:t>
      </w:r>
    </w:p>
    <w:p w14:paraId="19492C00" w14:textId="77777777" w:rsidR="00D67C9F" w:rsidRPr="00E17E95" w:rsidRDefault="00E17E95" w:rsidP="00E17E95">
      <w:pPr>
        <w:spacing w:line="320" w:lineRule="auto"/>
        <w:jc w:val="left"/>
        <w:rPr>
          <w:rStyle w:val="default"/>
          <w:rFonts w:cs="Miriam"/>
          <w:szCs w:val="22"/>
          <w:rtl/>
        </w:rPr>
      </w:pPr>
      <w:r w:rsidRPr="00E17E95">
        <w:rPr>
          <w:rStyle w:val="default"/>
          <w:rFonts w:cs="Miriam"/>
          <w:szCs w:val="22"/>
          <w:rtl/>
        </w:rPr>
        <w:t>עבודה</w:t>
      </w:r>
      <w:r w:rsidRPr="00E17E95">
        <w:rPr>
          <w:rStyle w:val="default"/>
          <w:rFonts w:cs="FrankRuehl"/>
          <w:rtl/>
        </w:rPr>
        <w:t xml:space="preserve"> – הודעה לעובד</w:t>
      </w:r>
    </w:p>
    <w:p w14:paraId="2729CDC0" w14:textId="77777777" w:rsidR="00D67C9F" w:rsidRPr="00D67C9F" w:rsidRDefault="00D67C9F" w:rsidP="00D67C9F">
      <w:pPr>
        <w:pStyle w:val="big-header"/>
        <w:ind w:left="0" w:right="1134"/>
        <w:rPr>
          <w:rStyle w:val="default"/>
          <w:rFonts w:cs="FrankRuehl" w:hint="cs"/>
          <w:rtl/>
        </w:rPr>
      </w:pPr>
      <w:r>
        <w:rPr>
          <w:rFonts w:hint="cs"/>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07778" w14:paraId="3C1E9727" w14:textId="77777777">
        <w:tblPrEx>
          <w:tblCellMar>
            <w:top w:w="0" w:type="dxa"/>
            <w:bottom w:w="0" w:type="dxa"/>
          </w:tblCellMar>
        </w:tblPrEx>
        <w:tc>
          <w:tcPr>
            <w:tcW w:w="850" w:type="dxa"/>
          </w:tcPr>
          <w:p w14:paraId="09C6F8C0"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3141817E" w14:textId="77777777" w:rsidR="00207778" w:rsidRDefault="00207778">
            <w:pPr>
              <w:spacing w:line="240" w:lineRule="auto"/>
              <w:rPr>
                <w:sz w:val="24"/>
              </w:rPr>
            </w:pPr>
            <w:hyperlink w:anchor="Seif0" w:tooltip="הגדרות" w:history="1">
              <w:r>
                <w:rPr>
                  <w:rStyle w:val="Hyperlink"/>
                </w:rPr>
                <w:t>Go</w:t>
              </w:r>
            </w:hyperlink>
          </w:p>
        </w:tc>
        <w:tc>
          <w:tcPr>
            <w:tcW w:w="5669" w:type="dxa"/>
          </w:tcPr>
          <w:p w14:paraId="39118AE7" w14:textId="77777777" w:rsidR="00207778" w:rsidRDefault="00207778">
            <w:pPr>
              <w:spacing w:line="240" w:lineRule="auto"/>
              <w:rPr>
                <w:sz w:val="24"/>
                <w:rtl/>
              </w:rPr>
            </w:pPr>
            <w:r>
              <w:rPr>
                <w:sz w:val="24"/>
                <w:rtl/>
              </w:rPr>
              <w:t>הגדרות</w:t>
            </w:r>
          </w:p>
        </w:tc>
        <w:tc>
          <w:tcPr>
            <w:tcW w:w="1247" w:type="dxa"/>
          </w:tcPr>
          <w:p w14:paraId="710A885F" w14:textId="77777777" w:rsidR="00207778" w:rsidRDefault="00207778">
            <w:pPr>
              <w:spacing w:line="240" w:lineRule="auto"/>
              <w:rPr>
                <w:sz w:val="24"/>
              </w:rPr>
            </w:pPr>
            <w:r>
              <w:rPr>
                <w:sz w:val="24"/>
                <w:rtl/>
              </w:rPr>
              <w:t xml:space="preserve">סעיף 1 </w:t>
            </w:r>
          </w:p>
        </w:tc>
      </w:tr>
      <w:tr w:rsidR="00207778" w14:paraId="2B940AE1" w14:textId="77777777">
        <w:tblPrEx>
          <w:tblCellMar>
            <w:top w:w="0" w:type="dxa"/>
            <w:bottom w:w="0" w:type="dxa"/>
          </w:tblCellMar>
        </w:tblPrEx>
        <w:tc>
          <w:tcPr>
            <w:tcW w:w="850" w:type="dxa"/>
          </w:tcPr>
          <w:p w14:paraId="7C9989B5"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944DD17" w14:textId="77777777" w:rsidR="00207778" w:rsidRDefault="00207778">
            <w:pPr>
              <w:spacing w:line="240" w:lineRule="auto"/>
              <w:rPr>
                <w:sz w:val="24"/>
              </w:rPr>
            </w:pPr>
            <w:hyperlink w:anchor="Seif1" w:tooltip="סיווג ביטחוני של משרה או תפקיד" w:history="1">
              <w:r>
                <w:rPr>
                  <w:rStyle w:val="Hyperlink"/>
                </w:rPr>
                <w:t>Go</w:t>
              </w:r>
            </w:hyperlink>
          </w:p>
        </w:tc>
        <w:tc>
          <w:tcPr>
            <w:tcW w:w="5669" w:type="dxa"/>
          </w:tcPr>
          <w:p w14:paraId="51E28A67" w14:textId="77777777" w:rsidR="00207778" w:rsidRDefault="00207778">
            <w:pPr>
              <w:spacing w:line="240" w:lineRule="auto"/>
              <w:rPr>
                <w:sz w:val="24"/>
                <w:rtl/>
              </w:rPr>
            </w:pPr>
            <w:r>
              <w:rPr>
                <w:sz w:val="24"/>
                <w:rtl/>
              </w:rPr>
              <w:t>סיווג ביטחוני של משרה או תפקיד</w:t>
            </w:r>
          </w:p>
        </w:tc>
        <w:tc>
          <w:tcPr>
            <w:tcW w:w="1247" w:type="dxa"/>
          </w:tcPr>
          <w:p w14:paraId="7AE48375" w14:textId="77777777" w:rsidR="00207778" w:rsidRDefault="00207778">
            <w:pPr>
              <w:spacing w:line="240" w:lineRule="auto"/>
              <w:rPr>
                <w:sz w:val="24"/>
              </w:rPr>
            </w:pPr>
            <w:r>
              <w:rPr>
                <w:sz w:val="24"/>
                <w:rtl/>
              </w:rPr>
              <w:t xml:space="preserve">סעיף 2 </w:t>
            </w:r>
          </w:p>
        </w:tc>
      </w:tr>
      <w:tr w:rsidR="00207778" w14:paraId="66606AF3" w14:textId="77777777">
        <w:tblPrEx>
          <w:tblCellMar>
            <w:top w:w="0" w:type="dxa"/>
            <w:bottom w:w="0" w:type="dxa"/>
          </w:tblCellMar>
        </w:tblPrEx>
        <w:tc>
          <w:tcPr>
            <w:tcW w:w="850" w:type="dxa"/>
          </w:tcPr>
          <w:p w14:paraId="69721873"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920F541" w14:textId="77777777" w:rsidR="00207778" w:rsidRDefault="00207778">
            <w:pPr>
              <w:spacing w:line="240" w:lineRule="auto"/>
              <w:rPr>
                <w:sz w:val="24"/>
              </w:rPr>
            </w:pPr>
            <w:hyperlink w:anchor="Seif2" w:tooltip="הודעה למעביד" w:history="1">
              <w:r>
                <w:rPr>
                  <w:rStyle w:val="Hyperlink"/>
                </w:rPr>
                <w:t>Go</w:t>
              </w:r>
            </w:hyperlink>
          </w:p>
        </w:tc>
        <w:tc>
          <w:tcPr>
            <w:tcW w:w="5669" w:type="dxa"/>
          </w:tcPr>
          <w:p w14:paraId="606D93A8" w14:textId="77777777" w:rsidR="00207778" w:rsidRDefault="00207778">
            <w:pPr>
              <w:spacing w:line="240" w:lineRule="auto"/>
              <w:rPr>
                <w:sz w:val="24"/>
                <w:rtl/>
              </w:rPr>
            </w:pPr>
            <w:r>
              <w:rPr>
                <w:sz w:val="24"/>
                <w:rtl/>
              </w:rPr>
              <w:t>הודעה למעביד</w:t>
            </w:r>
          </w:p>
        </w:tc>
        <w:tc>
          <w:tcPr>
            <w:tcW w:w="1247" w:type="dxa"/>
          </w:tcPr>
          <w:p w14:paraId="66C67416" w14:textId="77777777" w:rsidR="00207778" w:rsidRDefault="00207778">
            <w:pPr>
              <w:spacing w:line="240" w:lineRule="auto"/>
              <w:rPr>
                <w:sz w:val="24"/>
              </w:rPr>
            </w:pPr>
            <w:r>
              <w:rPr>
                <w:sz w:val="24"/>
                <w:rtl/>
              </w:rPr>
              <w:t xml:space="preserve">סעיף 3 </w:t>
            </w:r>
          </w:p>
        </w:tc>
      </w:tr>
      <w:tr w:rsidR="00207778" w14:paraId="1F13FF96" w14:textId="77777777">
        <w:tblPrEx>
          <w:tblCellMar>
            <w:top w:w="0" w:type="dxa"/>
            <w:bottom w:w="0" w:type="dxa"/>
          </w:tblCellMar>
        </w:tblPrEx>
        <w:tc>
          <w:tcPr>
            <w:tcW w:w="850" w:type="dxa"/>
          </w:tcPr>
          <w:p w14:paraId="1BF3C8E4"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26E99C8" w14:textId="77777777" w:rsidR="00207778" w:rsidRDefault="00207778">
            <w:pPr>
              <w:spacing w:line="240" w:lineRule="auto"/>
              <w:rPr>
                <w:sz w:val="24"/>
              </w:rPr>
            </w:pPr>
            <w:hyperlink w:anchor="Seif3" w:tooltip="ביצוע הסיווג" w:history="1">
              <w:r>
                <w:rPr>
                  <w:rStyle w:val="Hyperlink"/>
                </w:rPr>
                <w:t>Go</w:t>
              </w:r>
            </w:hyperlink>
          </w:p>
        </w:tc>
        <w:tc>
          <w:tcPr>
            <w:tcW w:w="5669" w:type="dxa"/>
          </w:tcPr>
          <w:p w14:paraId="180E8E63" w14:textId="77777777" w:rsidR="00207778" w:rsidRDefault="00207778">
            <w:pPr>
              <w:spacing w:line="240" w:lineRule="auto"/>
              <w:rPr>
                <w:sz w:val="24"/>
                <w:rtl/>
              </w:rPr>
            </w:pPr>
            <w:r>
              <w:rPr>
                <w:sz w:val="24"/>
                <w:rtl/>
              </w:rPr>
              <w:t>ביצוע הסיווג</w:t>
            </w:r>
          </w:p>
        </w:tc>
        <w:tc>
          <w:tcPr>
            <w:tcW w:w="1247" w:type="dxa"/>
          </w:tcPr>
          <w:p w14:paraId="017921D8" w14:textId="77777777" w:rsidR="00207778" w:rsidRDefault="00207778">
            <w:pPr>
              <w:spacing w:line="240" w:lineRule="auto"/>
              <w:rPr>
                <w:sz w:val="24"/>
              </w:rPr>
            </w:pPr>
            <w:r>
              <w:rPr>
                <w:sz w:val="24"/>
                <w:rtl/>
              </w:rPr>
              <w:t xml:space="preserve">סעיף 4 </w:t>
            </w:r>
          </w:p>
        </w:tc>
      </w:tr>
      <w:tr w:rsidR="00207778" w14:paraId="019ED168" w14:textId="77777777">
        <w:tblPrEx>
          <w:tblCellMar>
            <w:top w:w="0" w:type="dxa"/>
            <w:bottom w:w="0" w:type="dxa"/>
          </w:tblCellMar>
        </w:tblPrEx>
        <w:tc>
          <w:tcPr>
            <w:tcW w:w="850" w:type="dxa"/>
          </w:tcPr>
          <w:p w14:paraId="5D40E619"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DC832CD" w14:textId="77777777" w:rsidR="00207778" w:rsidRDefault="00207778">
            <w:pPr>
              <w:spacing w:line="240" w:lineRule="auto"/>
              <w:rPr>
                <w:sz w:val="24"/>
              </w:rPr>
            </w:pPr>
            <w:hyperlink w:anchor="Seif4" w:tooltip="הודעה בדבר אי התאמה ביטחונית" w:history="1">
              <w:r>
                <w:rPr>
                  <w:rStyle w:val="Hyperlink"/>
                </w:rPr>
                <w:t>Go</w:t>
              </w:r>
            </w:hyperlink>
          </w:p>
        </w:tc>
        <w:tc>
          <w:tcPr>
            <w:tcW w:w="5669" w:type="dxa"/>
          </w:tcPr>
          <w:p w14:paraId="245198DF" w14:textId="77777777" w:rsidR="00207778" w:rsidRDefault="00207778">
            <w:pPr>
              <w:spacing w:line="240" w:lineRule="auto"/>
              <w:rPr>
                <w:sz w:val="24"/>
                <w:rtl/>
              </w:rPr>
            </w:pPr>
            <w:r>
              <w:rPr>
                <w:sz w:val="24"/>
                <w:rtl/>
              </w:rPr>
              <w:t>הודעה בדבר אי התאמה ביטחונית</w:t>
            </w:r>
          </w:p>
        </w:tc>
        <w:tc>
          <w:tcPr>
            <w:tcW w:w="1247" w:type="dxa"/>
          </w:tcPr>
          <w:p w14:paraId="696277E7" w14:textId="77777777" w:rsidR="00207778" w:rsidRDefault="00207778">
            <w:pPr>
              <w:spacing w:line="240" w:lineRule="auto"/>
              <w:rPr>
                <w:sz w:val="24"/>
              </w:rPr>
            </w:pPr>
            <w:r>
              <w:rPr>
                <w:sz w:val="24"/>
                <w:rtl/>
              </w:rPr>
              <w:t xml:space="preserve">סעיף 5 </w:t>
            </w:r>
          </w:p>
        </w:tc>
      </w:tr>
      <w:tr w:rsidR="00207778" w14:paraId="3DE0189D" w14:textId="77777777">
        <w:tblPrEx>
          <w:tblCellMar>
            <w:top w:w="0" w:type="dxa"/>
            <w:bottom w:w="0" w:type="dxa"/>
          </w:tblCellMar>
        </w:tblPrEx>
        <w:tc>
          <w:tcPr>
            <w:tcW w:w="850" w:type="dxa"/>
          </w:tcPr>
          <w:p w14:paraId="44D43941"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CA54E7B" w14:textId="77777777" w:rsidR="00207778" w:rsidRDefault="00207778">
            <w:pPr>
              <w:spacing w:line="240" w:lineRule="auto"/>
              <w:rPr>
                <w:sz w:val="24"/>
              </w:rPr>
            </w:pPr>
            <w:hyperlink w:anchor="Seif5" w:tooltip="אופן מסירת ההודעה" w:history="1">
              <w:r>
                <w:rPr>
                  <w:rStyle w:val="Hyperlink"/>
                </w:rPr>
                <w:t>Go</w:t>
              </w:r>
            </w:hyperlink>
          </w:p>
        </w:tc>
        <w:tc>
          <w:tcPr>
            <w:tcW w:w="5669" w:type="dxa"/>
          </w:tcPr>
          <w:p w14:paraId="0CC077CA" w14:textId="77777777" w:rsidR="00207778" w:rsidRDefault="00207778">
            <w:pPr>
              <w:spacing w:line="240" w:lineRule="auto"/>
              <w:rPr>
                <w:sz w:val="24"/>
                <w:rtl/>
              </w:rPr>
            </w:pPr>
            <w:r>
              <w:rPr>
                <w:sz w:val="24"/>
                <w:rtl/>
              </w:rPr>
              <w:t>אופן מסירת ההודעה</w:t>
            </w:r>
          </w:p>
        </w:tc>
        <w:tc>
          <w:tcPr>
            <w:tcW w:w="1247" w:type="dxa"/>
          </w:tcPr>
          <w:p w14:paraId="4EC02F36" w14:textId="77777777" w:rsidR="00207778" w:rsidRDefault="00207778">
            <w:pPr>
              <w:spacing w:line="240" w:lineRule="auto"/>
              <w:rPr>
                <w:sz w:val="24"/>
              </w:rPr>
            </w:pPr>
            <w:r>
              <w:rPr>
                <w:sz w:val="24"/>
                <w:rtl/>
              </w:rPr>
              <w:t xml:space="preserve">סעיף 6 </w:t>
            </w:r>
          </w:p>
        </w:tc>
      </w:tr>
      <w:tr w:rsidR="00207778" w14:paraId="79004F27" w14:textId="77777777">
        <w:tblPrEx>
          <w:tblCellMar>
            <w:top w:w="0" w:type="dxa"/>
            <w:bottom w:w="0" w:type="dxa"/>
          </w:tblCellMar>
        </w:tblPrEx>
        <w:tc>
          <w:tcPr>
            <w:tcW w:w="850" w:type="dxa"/>
          </w:tcPr>
          <w:p w14:paraId="591D0B63"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A4AB253" w14:textId="77777777" w:rsidR="00207778" w:rsidRDefault="00207778">
            <w:pPr>
              <w:spacing w:line="240" w:lineRule="auto"/>
              <w:rPr>
                <w:sz w:val="24"/>
              </w:rPr>
            </w:pPr>
            <w:hyperlink w:anchor="Seif6" w:tooltip="פרטי ההודעה" w:history="1">
              <w:r>
                <w:rPr>
                  <w:rStyle w:val="Hyperlink"/>
                </w:rPr>
                <w:t>Go</w:t>
              </w:r>
            </w:hyperlink>
          </w:p>
        </w:tc>
        <w:tc>
          <w:tcPr>
            <w:tcW w:w="5669" w:type="dxa"/>
          </w:tcPr>
          <w:p w14:paraId="2EA8006E" w14:textId="77777777" w:rsidR="00207778" w:rsidRDefault="00207778">
            <w:pPr>
              <w:spacing w:line="240" w:lineRule="auto"/>
              <w:rPr>
                <w:sz w:val="24"/>
                <w:rtl/>
              </w:rPr>
            </w:pPr>
            <w:r>
              <w:rPr>
                <w:sz w:val="24"/>
                <w:rtl/>
              </w:rPr>
              <w:t>פרטי ההודעה</w:t>
            </w:r>
          </w:p>
        </w:tc>
        <w:tc>
          <w:tcPr>
            <w:tcW w:w="1247" w:type="dxa"/>
          </w:tcPr>
          <w:p w14:paraId="7E255379" w14:textId="77777777" w:rsidR="00207778" w:rsidRDefault="00207778">
            <w:pPr>
              <w:spacing w:line="240" w:lineRule="auto"/>
              <w:rPr>
                <w:sz w:val="24"/>
              </w:rPr>
            </w:pPr>
            <w:r>
              <w:rPr>
                <w:sz w:val="24"/>
                <w:rtl/>
              </w:rPr>
              <w:t xml:space="preserve">סעיף 7 </w:t>
            </w:r>
          </w:p>
        </w:tc>
      </w:tr>
      <w:tr w:rsidR="00207778" w14:paraId="6519DC0C" w14:textId="77777777">
        <w:tblPrEx>
          <w:tblCellMar>
            <w:top w:w="0" w:type="dxa"/>
            <w:bottom w:w="0" w:type="dxa"/>
          </w:tblCellMar>
        </w:tblPrEx>
        <w:tc>
          <w:tcPr>
            <w:tcW w:w="850" w:type="dxa"/>
          </w:tcPr>
          <w:p w14:paraId="1BE9714C"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5AC3A43" w14:textId="77777777" w:rsidR="00207778" w:rsidRDefault="00207778">
            <w:pPr>
              <w:spacing w:line="240" w:lineRule="auto"/>
              <w:rPr>
                <w:sz w:val="24"/>
              </w:rPr>
            </w:pPr>
            <w:hyperlink w:anchor="Seif7" w:tooltip="מועד מסירת ההודעה" w:history="1">
              <w:r>
                <w:rPr>
                  <w:rStyle w:val="Hyperlink"/>
                </w:rPr>
                <w:t>Go</w:t>
              </w:r>
            </w:hyperlink>
          </w:p>
        </w:tc>
        <w:tc>
          <w:tcPr>
            <w:tcW w:w="5669" w:type="dxa"/>
          </w:tcPr>
          <w:p w14:paraId="1B440B63" w14:textId="77777777" w:rsidR="00207778" w:rsidRDefault="00207778">
            <w:pPr>
              <w:spacing w:line="240" w:lineRule="auto"/>
              <w:rPr>
                <w:sz w:val="24"/>
                <w:rtl/>
              </w:rPr>
            </w:pPr>
            <w:r>
              <w:rPr>
                <w:sz w:val="24"/>
                <w:rtl/>
              </w:rPr>
              <w:t>מועד מסירת ההודעה</w:t>
            </w:r>
          </w:p>
        </w:tc>
        <w:tc>
          <w:tcPr>
            <w:tcW w:w="1247" w:type="dxa"/>
          </w:tcPr>
          <w:p w14:paraId="1C758FC9" w14:textId="77777777" w:rsidR="00207778" w:rsidRDefault="00207778">
            <w:pPr>
              <w:spacing w:line="240" w:lineRule="auto"/>
              <w:rPr>
                <w:sz w:val="24"/>
              </w:rPr>
            </w:pPr>
            <w:r>
              <w:rPr>
                <w:sz w:val="24"/>
                <w:rtl/>
              </w:rPr>
              <w:t xml:space="preserve">סעיף 8 </w:t>
            </w:r>
          </w:p>
        </w:tc>
      </w:tr>
      <w:tr w:rsidR="00207778" w14:paraId="7ECFBA6A" w14:textId="77777777">
        <w:tblPrEx>
          <w:tblCellMar>
            <w:top w:w="0" w:type="dxa"/>
            <w:bottom w:w="0" w:type="dxa"/>
          </w:tblCellMar>
        </w:tblPrEx>
        <w:tc>
          <w:tcPr>
            <w:tcW w:w="850" w:type="dxa"/>
          </w:tcPr>
          <w:p w14:paraId="2C1BA3E2"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B6AE1AE" w14:textId="77777777" w:rsidR="00207778" w:rsidRDefault="00207778">
            <w:pPr>
              <w:spacing w:line="240" w:lineRule="auto"/>
              <w:rPr>
                <w:sz w:val="24"/>
              </w:rPr>
            </w:pPr>
            <w:hyperlink w:anchor="Seif8" w:tooltip="סייגים למסירת הודעה" w:history="1">
              <w:r>
                <w:rPr>
                  <w:rStyle w:val="Hyperlink"/>
                </w:rPr>
                <w:t>Go</w:t>
              </w:r>
            </w:hyperlink>
          </w:p>
        </w:tc>
        <w:tc>
          <w:tcPr>
            <w:tcW w:w="5669" w:type="dxa"/>
          </w:tcPr>
          <w:p w14:paraId="0E609C1E" w14:textId="77777777" w:rsidR="00207778" w:rsidRDefault="00207778">
            <w:pPr>
              <w:spacing w:line="240" w:lineRule="auto"/>
              <w:rPr>
                <w:sz w:val="24"/>
                <w:rtl/>
              </w:rPr>
            </w:pPr>
            <w:r>
              <w:rPr>
                <w:sz w:val="24"/>
                <w:rtl/>
              </w:rPr>
              <w:t>סייגים למסירת הודעה</w:t>
            </w:r>
          </w:p>
        </w:tc>
        <w:tc>
          <w:tcPr>
            <w:tcW w:w="1247" w:type="dxa"/>
          </w:tcPr>
          <w:p w14:paraId="2B51DE73" w14:textId="77777777" w:rsidR="00207778" w:rsidRDefault="00207778">
            <w:pPr>
              <w:spacing w:line="240" w:lineRule="auto"/>
              <w:rPr>
                <w:sz w:val="24"/>
              </w:rPr>
            </w:pPr>
            <w:r>
              <w:rPr>
                <w:sz w:val="24"/>
                <w:rtl/>
              </w:rPr>
              <w:t xml:space="preserve">סעיף 9 </w:t>
            </w:r>
          </w:p>
        </w:tc>
      </w:tr>
      <w:tr w:rsidR="00207778" w14:paraId="7882786C" w14:textId="77777777">
        <w:tblPrEx>
          <w:tblCellMar>
            <w:top w:w="0" w:type="dxa"/>
            <w:bottom w:w="0" w:type="dxa"/>
          </w:tblCellMar>
        </w:tblPrEx>
        <w:tc>
          <w:tcPr>
            <w:tcW w:w="850" w:type="dxa"/>
          </w:tcPr>
          <w:p w14:paraId="022F7025"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0EDE3D3" w14:textId="77777777" w:rsidR="00207778" w:rsidRDefault="00207778">
            <w:pPr>
              <w:spacing w:line="240" w:lineRule="auto"/>
              <w:rPr>
                <w:sz w:val="24"/>
              </w:rPr>
            </w:pPr>
            <w:hyperlink w:anchor="Seif9" w:tooltip="אי התאמה לתפקיד בצהל" w:history="1">
              <w:r>
                <w:rPr>
                  <w:rStyle w:val="Hyperlink"/>
                </w:rPr>
                <w:t>Go</w:t>
              </w:r>
            </w:hyperlink>
          </w:p>
        </w:tc>
        <w:tc>
          <w:tcPr>
            <w:tcW w:w="5669" w:type="dxa"/>
          </w:tcPr>
          <w:p w14:paraId="714A122F" w14:textId="77777777" w:rsidR="00207778" w:rsidRDefault="00207778">
            <w:pPr>
              <w:spacing w:line="240" w:lineRule="auto"/>
              <w:rPr>
                <w:sz w:val="24"/>
                <w:rtl/>
              </w:rPr>
            </w:pPr>
            <w:r>
              <w:rPr>
                <w:sz w:val="24"/>
                <w:rtl/>
              </w:rPr>
              <w:t>אי התאמה לתפקיד בצהל</w:t>
            </w:r>
          </w:p>
        </w:tc>
        <w:tc>
          <w:tcPr>
            <w:tcW w:w="1247" w:type="dxa"/>
          </w:tcPr>
          <w:p w14:paraId="41A881A5" w14:textId="77777777" w:rsidR="00207778" w:rsidRDefault="00207778">
            <w:pPr>
              <w:spacing w:line="240" w:lineRule="auto"/>
              <w:rPr>
                <w:sz w:val="24"/>
              </w:rPr>
            </w:pPr>
            <w:r>
              <w:rPr>
                <w:sz w:val="24"/>
                <w:rtl/>
              </w:rPr>
              <w:t xml:space="preserve">סעיף 10 </w:t>
            </w:r>
          </w:p>
        </w:tc>
      </w:tr>
      <w:tr w:rsidR="00207778" w14:paraId="019FE69F" w14:textId="77777777">
        <w:tblPrEx>
          <w:tblCellMar>
            <w:top w:w="0" w:type="dxa"/>
            <w:bottom w:w="0" w:type="dxa"/>
          </w:tblCellMar>
        </w:tblPrEx>
        <w:tc>
          <w:tcPr>
            <w:tcW w:w="850" w:type="dxa"/>
          </w:tcPr>
          <w:p w14:paraId="4052AD23"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EC8F2C1" w14:textId="77777777" w:rsidR="00207778" w:rsidRDefault="00207778">
            <w:pPr>
              <w:spacing w:line="240" w:lineRule="auto"/>
              <w:rPr>
                <w:sz w:val="24"/>
              </w:rPr>
            </w:pPr>
            <w:hyperlink w:anchor="Seif10" w:tooltip="הזכות להשיג" w:history="1">
              <w:r>
                <w:rPr>
                  <w:rStyle w:val="Hyperlink"/>
                </w:rPr>
                <w:t>Go</w:t>
              </w:r>
            </w:hyperlink>
          </w:p>
        </w:tc>
        <w:tc>
          <w:tcPr>
            <w:tcW w:w="5669" w:type="dxa"/>
          </w:tcPr>
          <w:p w14:paraId="3E15A430" w14:textId="77777777" w:rsidR="00207778" w:rsidRDefault="00207778">
            <w:pPr>
              <w:spacing w:line="240" w:lineRule="auto"/>
              <w:rPr>
                <w:sz w:val="24"/>
                <w:rtl/>
              </w:rPr>
            </w:pPr>
            <w:r>
              <w:rPr>
                <w:sz w:val="24"/>
                <w:rtl/>
              </w:rPr>
              <w:t>הזכות להשיג</w:t>
            </w:r>
          </w:p>
        </w:tc>
        <w:tc>
          <w:tcPr>
            <w:tcW w:w="1247" w:type="dxa"/>
          </w:tcPr>
          <w:p w14:paraId="5F48A99D" w14:textId="77777777" w:rsidR="00207778" w:rsidRDefault="00207778">
            <w:pPr>
              <w:spacing w:line="240" w:lineRule="auto"/>
              <w:rPr>
                <w:sz w:val="24"/>
              </w:rPr>
            </w:pPr>
            <w:r>
              <w:rPr>
                <w:sz w:val="24"/>
                <w:rtl/>
              </w:rPr>
              <w:t xml:space="preserve">סעיף 11 </w:t>
            </w:r>
          </w:p>
        </w:tc>
      </w:tr>
      <w:tr w:rsidR="00207778" w14:paraId="7EC28EA7" w14:textId="77777777">
        <w:tblPrEx>
          <w:tblCellMar>
            <w:top w:w="0" w:type="dxa"/>
            <w:bottom w:w="0" w:type="dxa"/>
          </w:tblCellMar>
        </w:tblPrEx>
        <w:tc>
          <w:tcPr>
            <w:tcW w:w="850" w:type="dxa"/>
          </w:tcPr>
          <w:p w14:paraId="6E5F1B87"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1B00BF8" w14:textId="77777777" w:rsidR="00207778" w:rsidRDefault="00207778">
            <w:pPr>
              <w:spacing w:line="240" w:lineRule="auto"/>
              <w:rPr>
                <w:sz w:val="24"/>
              </w:rPr>
            </w:pPr>
            <w:hyperlink w:anchor="Seif11" w:tooltip="חברי הועדה" w:history="1">
              <w:r>
                <w:rPr>
                  <w:rStyle w:val="Hyperlink"/>
                </w:rPr>
                <w:t>Go</w:t>
              </w:r>
            </w:hyperlink>
          </w:p>
        </w:tc>
        <w:tc>
          <w:tcPr>
            <w:tcW w:w="5669" w:type="dxa"/>
          </w:tcPr>
          <w:p w14:paraId="69C80D1F" w14:textId="77777777" w:rsidR="00207778" w:rsidRDefault="00207778">
            <w:pPr>
              <w:spacing w:line="240" w:lineRule="auto"/>
              <w:rPr>
                <w:sz w:val="24"/>
                <w:rtl/>
              </w:rPr>
            </w:pPr>
            <w:r>
              <w:rPr>
                <w:sz w:val="24"/>
                <w:rtl/>
              </w:rPr>
              <w:t>חברי הועדה</w:t>
            </w:r>
          </w:p>
        </w:tc>
        <w:tc>
          <w:tcPr>
            <w:tcW w:w="1247" w:type="dxa"/>
          </w:tcPr>
          <w:p w14:paraId="3AAC4AE9" w14:textId="77777777" w:rsidR="00207778" w:rsidRDefault="00207778">
            <w:pPr>
              <w:spacing w:line="240" w:lineRule="auto"/>
              <w:rPr>
                <w:sz w:val="24"/>
              </w:rPr>
            </w:pPr>
            <w:r>
              <w:rPr>
                <w:sz w:val="24"/>
                <w:rtl/>
              </w:rPr>
              <w:t xml:space="preserve">סעיף 12 </w:t>
            </w:r>
          </w:p>
        </w:tc>
      </w:tr>
      <w:tr w:rsidR="00207778" w14:paraId="5F14098D" w14:textId="77777777">
        <w:tblPrEx>
          <w:tblCellMar>
            <w:top w:w="0" w:type="dxa"/>
            <w:bottom w:w="0" w:type="dxa"/>
          </w:tblCellMar>
        </w:tblPrEx>
        <w:tc>
          <w:tcPr>
            <w:tcW w:w="850" w:type="dxa"/>
          </w:tcPr>
          <w:p w14:paraId="08E79DD9"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89F4701" w14:textId="77777777" w:rsidR="00207778" w:rsidRDefault="00207778">
            <w:pPr>
              <w:spacing w:line="240" w:lineRule="auto"/>
              <w:rPr>
                <w:sz w:val="24"/>
              </w:rPr>
            </w:pPr>
            <w:hyperlink w:anchor="Seif12" w:tooltip="המועד להגשת ההשגה" w:history="1">
              <w:r>
                <w:rPr>
                  <w:rStyle w:val="Hyperlink"/>
                </w:rPr>
                <w:t>Go</w:t>
              </w:r>
            </w:hyperlink>
          </w:p>
        </w:tc>
        <w:tc>
          <w:tcPr>
            <w:tcW w:w="5669" w:type="dxa"/>
          </w:tcPr>
          <w:p w14:paraId="5173BB8B" w14:textId="77777777" w:rsidR="00207778" w:rsidRDefault="00207778">
            <w:pPr>
              <w:spacing w:line="240" w:lineRule="auto"/>
              <w:rPr>
                <w:sz w:val="24"/>
                <w:rtl/>
              </w:rPr>
            </w:pPr>
            <w:r>
              <w:rPr>
                <w:sz w:val="24"/>
                <w:rtl/>
              </w:rPr>
              <w:t>המועד להגשת ההשגה</w:t>
            </w:r>
          </w:p>
        </w:tc>
        <w:tc>
          <w:tcPr>
            <w:tcW w:w="1247" w:type="dxa"/>
          </w:tcPr>
          <w:p w14:paraId="5FEE9697" w14:textId="77777777" w:rsidR="00207778" w:rsidRDefault="00207778">
            <w:pPr>
              <w:spacing w:line="240" w:lineRule="auto"/>
              <w:rPr>
                <w:sz w:val="24"/>
              </w:rPr>
            </w:pPr>
            <w:r>
              <w:rPr>
                <w:sz w:val="24"/>
                <w:rtl/>
              </w:rPr>
              <w:t xml:space="preserve">סעיף 13 </w:t>
            </w:r>
          </w:p>
        </w:tc>
      </w:tr>
      <w:tr w:rsidR="00207778" w14:paraId="6A58B7BE" w14:textId="77777777">
        <w:tblPrEx>
          <w:tblCellMar>
            <w:top w:w="0" w:type="dxa"/>
            <w:bottom w:w="0" w:type="dxa"/>
          </w:tblCellMar>
        </w:tblPrEx>
        <w:tc>
          <w:tcPr>
            <w:tcW w:w="850" w:type="dxa"/>
          </w:tcPr>
          <w:p w14:paraId="1EBF593D"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DCF4C08" w14:textId="77777777" w:rsidR="00207778" w:rsidRDefault="00207778">
            <w:pPr>
              <w:spacing w:line="240" w:lineRule="auto"/>
              <w:rPr>
                <w:sz w:val="24"/>
              </w:rPr>
            </w:pPr>
            <w:hyperlink w:anchor="Seif13" w:tooltip="המשיב בהשגה" w:history="1">
              <w:r>
                <w:rPr>
                  <w:rStyle w:val="Hyperlink"/>
                </w:rPr>
                <w:t>Go</w:t>
              </w:r>
            </w:hyperlink>
          </w:p>
        </w:tc>
        <w:tc>
          <w:tcPr>
            <w:tcW w:w="5669" w:type="dxa"/>
          </w:tcPr>
          <w:p w14:paraId="04A4A4B4" w14:textId="77777777" w:rsidR="00207778" w:rsidRDefault="00207778">
            <w:pPr>
              <w:spacing w:line="240" w:lineRule="auto"/>
              <w:rPr>
                <w:sz w:val="24"/>
                <w:rtl/>
              </w:rPr>
            </w:pPr>
            <w:r>
              <w:rPr>
                <w:sz w:val="24"/>
                <w:rtl/>
              </w:rPr>
              <w:t>המשיב בהשגה</w:t>
            </w:r>
          </w:p>
        </w:tc>
        <w:tc>
          <w:tcPr>
            <w:tcW w:w="1247" w:type="dxa"/>
          </w:tcPr>
          <w:p w14:paraId="3B4F400B" w14:textId="77777777" w:rsidR="00207778" w:rsidRDefault="00207778">
            <w:pPr>
              <w:spacing w:line="240" w:lineRule="auto"/>
              <w:rPr>
                <w:sz w:val="24"/>
              </w:rPr>
            </w:pPr>
            <w:r>
              <w:rPr>
                <w:sz w:val="24"/>
                <w:rtl/>
              </w:rPr>
              <w:t xml:space="preserve">סעיף 14 </w:t>
            </w:r>
          </w:p>
        </w:tc>
      </w:tr>
      <w:tr w:rsidR="00207778" w14:paraId="2CB67C3B" w14:textId="77777777">
        <w:tblPrEx>
          <w:tblCellMar>
            <w:top w:w="0" w:type="dxa"/>
            <w:bottom w:w="0" w:type="dxa"/>
          </w:tblCellMar>
        </w:tblPrEx>
        <w:tc>
          <w:tcPr>
            <w:tcW w:w="850" w:type="dxa"/>
          </w:tcPr>
          <w:p w14:paraId="688DD461"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4197DB5" w14:textId="77777777" w:rsidR="00207778" w:rsidRDefault="00207778">
            <w:pPr>
              <w:spacing w:line="240" w:lineRule="auto"/>
              <w:rPr>
                <w:sz w:val="24"/>
              </w:rPr>
            </w:pPr>
            <w:hyperlink w:anchor="Seif14" w:tooltip="כתב ההשגה" w:history="1">
              <w:r>
                <w:rPr>
                  <w:rStyle w:val="Hyperlink"/>
                </w:rPr>
                <w:t>Go</w:t>
              </w:r>
            </w:hyperlink>
          </w:p>
        </w:tc>
        <w:tc>
          <w:tcPr>
            <w:tcW w:w="5669" w:type="dxa"/>
          </w:tcPr>
          <w:p w14:paraId="00F854E3" w14:textId="77777777" w:rsidR="00207778" w:rsidRDefault="00207778">
            <w:pPr>
              <w:spacing w:line="240" w:lineRule="auto"/>
              <w:rPr>
                <w:sz w:val="24"/>
                <w:rtl/>
              </w:rPr>
            </w:pPr>
            <w:r>
              <w:rPr>
                <w:sz w:val="24"/>
                <w:rtl/>
              </w:rPr>
              <w:t>כתב ההשגה</w:t>
            </w:r>
          </w:p>
        </w:tc>
        <w:tc>
          <w:tcPr>
            <w:tcW w:w="1247" w:type="dxa"/>
          </w:tcPr>
          <w:p w14:paraId="51DD2A8E" w14:textId="77777777" w:rsidR="00207778" w:rsidRDefault="00207778">
            <w:pPr>
              <w:spacing w:line="240" w:lineRule="auto"/>
              <w:rPr>
                <w:sz w:val="24"/>
              </w:rPr>
            </w:pPr>
            <w:r>
              <w:rPr>
                <w:sz w:val="24"/>
                <w:rtl/>
              </w:rPr>
              <w:t xml:space="preserve">סעיף 15 </w:t>
            </w:r>
          </w:p>
        </w:tc>
      </w:tr>
      <w:tr w:rsidR="00207778" w14:paraId="74F2903D" w14:textId="77777777">
        <w:tblPrEx>
          <w:tblCellMar>
            <w:top w:w="0" w:type="dxa"/>
            <w:bottom w:w="0" w:type="dxa"/>
          </w:tblCellMar>
        </w:tblPrEx>
        <w:tc>
          <w:tcPr>
            <w:tcW w:w="850" w:type="dxa"/>
          </w:tcPr>
          <w:p w14:paraId="6FC89EED"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E85CC7A" w14:textId="77777777" w:rsidR="00207778" w:rsidRDefault="00207778">
            <w:pPr>
              <w:spacing w:line="240" w:lineRule="auto"/>
              <w:rPr>
                <w:sz w:val="24"/>
              </w:rPr>
            </w:pPr>
            <w:hyperlink w:anchor="Seif15" w:tooltip="ייצוג" w:history="1">
              <w:r>
                <w:rPr>
                  <w:rStyle w:val="Hyperlink"/>
                </w:rPr>
                <w:t>Go</w:t>
              </w:r>
            </w:hyperlink>
          </w:p>
        </w:tc>
        <w:tc>
          <w:tcPr>
            <w:tcW w:w="5669" w:type="dxa"/>
          </w:tcPr>
          <w:p w14:paraId="6E025130" w14:textId="77777777" w:rsidR="00207778" w:rsidRDefault="00207778">
            <w:pPr>
              <w:spacing w:line="240" w:lineRule="auto"/>
              <w:rPr>
                <w:sz w:val="24"/>
                <w:rtl/>
              </w:rPr>
            </w:pPr>
            <w:r>
              <w:rPr>
                <w:sz w:val="24"/>
                <w:rtl/>
              </w:rPr>
              <w:t>ייצוג</w:t>
            </w:r>
          </w:p>
        </w:tc>
        <w:tc>
          <w:tcPr>
            <w:tcW w:w="1247" w:type="dxa"/>
          </w:tcPr>
          <w:p w14:paraId="69F19BCA" w14:textId="77777777" w:rsidR="00207778" w:rsidRDefault="00207778">
            <w:pPr>
              <w:spacing w:line="240" w:lineRule="auto"/>
              <w:rPr>
                <w:sz w:val="24"/>
              </w:rPr>
            </w:pPr>
            <w:r>
              <w:rPr>
                <w:sz w:val="24"/>
                <w:rtl/>
              </w:rPr>
              <w:t xml:space="preserve">סעיף 16 </w:t>
            </w:r>
          </w:p>
        </w:tc>
      </w:tr>
      <w:tr w:rsidR="00207778" w14:paraId="73D6834C" w14:textId="77777777">
        <w:tblPrEx>
          <w:tblCellMar>
            <w:top w:w="0" w:type="dxa"/>
            <w:bottom w:w="0" w:type="dxa"/>
          </w:tblCellMar>
        </w:tblPrEx>
        <w:tc>
          <w:tcPr>
            <w:tcW w:w="850" w:type="dxa"/>
          </w:tcPr>
          <w:p w14:paraId="189457AB"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DF3F6FE" w14:textId="77777777" w:rsidR="00207778" w:rsidRDefault="00207778">
            <w:pPr>
              <w:spacing w:line="240" w:lineRule="auto"/>
              <w:rPr>
                <w:sz w:val="24"/>
              </w:rPr>
            </w:pPr>
            <w:hyperlink w:anchor="Seif16" w:tooltip="סעד ביניים" w:history="1">
              <w:r>
                <w:rPr>
                  <w:rStyle w:val="Hyperlink"/>
                </w:rPr>
                <w:t>Go</w:t>
              </w:r>
            </w:hyperlink>
          </w:p>
        </w:tc>
        <w:tc>
          <w:tcPr>
            <w:tcW w:w="5669" w:type="dxa"/>
          </w:tcPr>
          <w:p w14:paraId="635726C4" w14:textId="77777777" w:rsidR="00207778" w:rsidRDefault="00207778">
            <w:pPr>
              <w:spacing w:line="240" w:lineRule="auto"/>
              <w:rPr>
                <w:sz w:val="24"/>
                <w:rtl/>
              </w:rPr>
            </w:pPr>
            <w:r>
              <w:rPr>
                <w:sz w:val="24"/>
                <w:rtl/>
              </w:rPr>
              <w:t>סעד ביניים</w:t>
            </w:r>
          </w:p>
        </w:tc>
        <w:tc>
          <w:tcPr>
            <w:tcW w:w="1247" w:type="dxa"/>
          </w:tcPr>
          <w:p w14:paraId="21772BC2" w14:textId="77777777" w:rsidR="00207778" w:rsidRDefault="00207778">
            <w:pPr>
              <w:spacing w:line="240" w:lineRule="auto"/>
              <w:rPr>
                <w:sz w:val="24"/>
              </w:rPr>
            </w:pPr>
            <w:r>
              <w:rPr>
                <w:sz w:val="24"/>
                <w:rtl/>
              </w:rPr>
              <w:t xml:space="preserve">סעיף 17 </w:t>
            </w:r>
          </w:p>
        </w:tc>
      </w:tr>
      <w:tr w:rsidR="00207778" w14:paraId="2BE6C448" w14:textId="77777777">
        <w:tblPrEx>
          <w:tblCellMar>
            <w:top w:w="0" w:type="dxa"/>
            <w:bottom w:w="0" w:type="dxa"/>
          </w:tblCellMar>
        </w:tblPrEx>
        <w:tc>
          <w:tcPr>
            <w:tcW w:w="850" w:type="dxa"/>
          </w:tcPr>
          <w:p w14:paraId="0777E1F0"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D237A3F" w14:textId="77777777" w:rsidR="00207778" w:rsidRDefault="00207778">
            <w:pPr>
              <w:spacing w:line="240" w:lineRule="auto"/>
              <w:rPr>
                <w:sz w:val="24"/>
              </w:rPr>
            </w:pPr>
            <w:hyperlink w:anchor="Seif17" w:tooltip="קביעת מועד לשמיעת ההשגה" w:history="1">
              <w:r>
                <w:rPr>
                  <w:rStyle w:val="Hyperlink"/>
                </w:rPr>
                <w:t>Go</w:t>
              </w:r>
            </w:hyperlink>
          </w:p>
        </w:tc>
        <w:tc>
          <w:tcPr>
            <w:tcW w:w="5669" w:type="dxa"/>
          </w:tcPr>
          <w:p w14:paraId="7515965B" w14:textId="77777777" w:rsidR="00207778" w:rsidRDefault="00207778">
            <w:pPr>
              <w:spacing w:line="240" w:lineRule="auto"/>
              <w:rPr>
                <w:sz w:val="24"/>
                <w:rtl/>
              </w:rPr>
            </w:pPr>
            <w:r>
              <w:rPr>
                <w:sz w:val="24"/>
                <w:rtl/>
              </w:rPr>
              <w:t>קביעת מועד לשמיעת ההשגה</w:t>
            </w:r>
          </w:p>
        </w:tc>
        <w:tc>
          <w:tcPr>
            <w:tcW w:w="1247" w:type="dxa"/>
          </w:tcPr>
          <w:p w14:paraId="5836083C" w14:textId="77777777" w:rsidR="00207778" w:rsidRDefault="00207778">
            <w:pPr>
              <w:spacing w:line="240" w:lineRule="auto"/>
              <w:rPr>
                <w:sz w:val="24"/>
              </w:rPr>
            </w:pPr>
            <w:r>
              <w:rPr>
                <w:sz w:val="24"/>
                <w:rtl/>
              </w:rPr>
              <w:t xml:space="preserve">סעיף 18 </w:t>
            </w:r>
          </w:p>
        </w:tc>
      </w:tr>
      <w:tr w:rsidR="00207778" w14:paraId="2345471C" w14:textId="77777777">
        <w:tblPrEx>
          <w:tblCellMar>
            <w:top w:w="0" w:type="dxa"/>
            <w:bottom w:w="0" w:type="dxa"/>
          </w:tblCellMar>
        </w:tblPrEx>
        <w:tc>
          <w:tcPr>
            <w:tcW w:w="850" w:type="dxa"/>
          </w:tcPr>
          <w:p w14:paraId="4F04D9DE"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8270014" w14:textId="77777777" w:rsidR="00207778" w:rsidRDefault="00207778">
            <w:pPr>
              <w:spacing w:line="240" w:lineRule="auto"/>
              <w:rPr>
                <w:sz w:val="24"/>
              </w:rPr>
            </w:pPr>
            <w:hyperlink w:anchor="Seif18" w:tooltip="סדרי דיון" w:history="1">
              <w:r>
                <w:rPr>
                  <w:rStyle w:val="Hyperlink"/>
                </w:rPr>
                <w:t>Go</w:t>
              </w:r>
            </w:hyperlink>
          </w:p>
        </w:tc>
        <w:tc>
          <w:tcPr>
            <w:tcW w:w="5669" w:type="dxa"/>
          </w:tcPr>
          <w:p w14:paraId="5B3ABE5B" w14:textId="77777777" w:rsidR="00207778" w:rsidRDefault="00207778">
            <w:pPr>
              <w:spacing w:line="240" w:lineRule="auto"/>
              <w:rPr>
                <w:sz w:val="24"/>
                <w:rtl/>
              </w:rPr>
            </w:pPr>
            <w:r>
              <w:rPr>
                <w:sz w:val="24"/>
                <w:rtl/>
              </w:rPr>
              <w:t>סדרי דיון</w:t>
            </w:r>
          </w:p>
        </w:tc>
        <w:tc>
          <w:tcPr>
            <w:tcW w:w="1247" w:type="dxa"/>
          </w:tcPr>
          <w:p w14:paraId="77A580A6" w14:textId="77777777" w:rsidR="00207778" w:rsidRDefault="00207778">
            <w:pPr>
              <w:spacing w:line="240" w:lineRule="auto"/>
              <w:rPr>
                <w:sz w:val="24"/>
              </w:rPr>
            </w:pPr>
            <w:r>
              <w:rPr>
                <w:sz w:val="24"/>
                <w:rtl/>
              </w:rPr>
              <w:t xml:space="preserve">סעיף 19 </w:t>
            </w:r>
          </w:p>
        </w:tc>
      </w:tr>
      <w:tr w:rsidR="00207778" w14:paraId="32672C13" w14:textId="77777777">
        <w:tblPrEx>
          <w:tblCellMar>
            <w:top w:w="0" w:type="dxa"/>
            <w:bottom w:w="0" w:type="dxa"/>
          </w:tblCellMar>
        </w:tblPrEx>
        <w:tc>
          <w:tcPr>
            <w:tcW w:w="850" w:type="dxa"/>
          </w:tcPr>
          <w:p w14:paraId="33C5B8BE"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34D1402" w14:textId="77777777" w:rsidR="00207778" w:rsidRDefault="00207778">
            <w:pPr>
              <w:spacing w:line="240" w:lineRule="auto"/>
              <w:rPr>
                <w:sz w:val="24"/>
              </w:rPr>
            </w:pPr>
            <w:hyperlink w:anchor="Seif19" w:tooltip="סודיות" w:history="1">
              <w:r>
                <w:rPr>
                  <w:rStyle w:val="Hyperlink"/>
                </w:rPr>
                <w:t>Go</w:t>
              </w:r>
            </w:hyperlink>
          </w:p>
        </w:tc>
        <w:tc>
          <w:tcPr>
            <w:tcW w:w="5669" w:type="dxa"/>
          </w:tcPr>
          <w:p w14:paraId="7F057966" w14:textId="77777777" w:rsidR="00207778" w:rsidRDefault="00207778">
            <w:pPr>
              <w:spacing w:line="240" w:lineRule="auto"/>
              <w:rPr>
                <w:sz w:val="24"/>
                <w:rtl/>
              </w:rPr>
            </w:pPr>
            <w:r>
              <w:rPr>
                <w:sz w:val="24"/>
                <w:rtl/>
              </w:rPr>
              <w:t>סודיות</w:t>
            </w:r>
          </w:p>
        </w:tc>
        <w:tc>
          <w:tcPr>
            <w:tcW w:w="1247" w:type="dxa"/>
          </w:tcPr>
          <w:p w14:paraId="100F34BF" w14:textId="77777777" w:rsidR="00207778" w:rsidRDefault="00207778">
            <w:pPr>
              <w:spacing w:line="240" w:lineRule="auto"/>
              <w:rPr>
                <w:sz w:val="24"/>
              </w:rPr>
            </w:pPr>
            <w:r>
              <w:rPr>
                <w:sz w:val="24"/>
                <w:rtl/>
              </w:rPr>
              <w:t xml:space="preserve">סעיף 20 </w:t>
            </w:r>
          </w:p>
        </w:tc>
      </w:tr>
      <w:tr w:rsidR="00207778" w14:paraId="00E46914" w14:textId="77777777">
        <w:tblPrEx>
          <w:tblCellMar>
            <w:top w:w="0" w:type="dxa"/>
            <w:bottom w:w="0" w:type="dxa"/>
          </w:tblCellMar>
        </w:tblPrEx>
        <w:tc>
          <w:tcPr>
            <w:tcW w:w="850" w:type="dxa"/>
          </w:tcPr>
          <w:p w14:paraId="3B12A095"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4A73923" w14:textId="77777777" w:rsidR="00207778" w:rsidRDefault="00207778">
            <w:pPr>
              <w:spacing w:line="240" w:lineRule="auto"/>
              <w:rPr>
                <w:sz w:val="24"/>
              </w:rPr>
            </w:pPr>
            <w:hyperlink w:anchor="Seif20" w:tooltip="ראיות" w:history="1">
              <w:r>
                <w:rPr>
                  <w:rStyle w:val="Hyperlink"/>
                </w:rPr>
                <w:t>Go</w:t>
              </w:r>
            </w:hyperlink>
          </w:p>
        </w:tc>
        <w:tc>
          <w:tcPr>
            <w:tcW w:w="5669" w:type="dxa"/>
          </w:tcPr>
          <w:p w14:paraId="2E47D8B8" w14:textId="77777777" w:rsidR="00207778" w:rsidRDefault="00207778">
            <w:pPr>
              <w:spacing w:line="240" w:lineRule="auto"/>
              <w:rPr>
                <w:sz w:val="24"/>
                <w:rtl/>
              </w:rPr>
            </w:pPr>
            <w:r>
              <w:rPr>
                <w:sz w:val="24"/>
                <w:rtl/>
              </w:rPr>
              <w:t>ראיות</w:t>
            </w:r>
          </w:p>
        </w:tc>
        <w:tc>
          <w:tcPr>
            <w:tcW w:w="1247" w:type="dxa"/>
          </w:tcPr>
          <w:p w14:paraId="1551DEFE" w14:textId="77777777" w:rsidR="00207778" w:rsidRDefault="00207778">
            <w:pPr>
              <w:spacing w:line="240" w:lineRule="auto"/>
              <w:rPr>
                <w:sz w:val="24"/>
              </w:rPr>
            </w:pPr>
            <w:r>
              <w:rPr>
                <w:sz w:val="24"/>
                <w:rtl/>
              </w:rPr>
              <w:t xml:space="preserve">סעיף 21 </w:t>
            </w:r>
          </w:p>
        </w:tc>
      </w:tr>
      <w:tr w:rsidR="00207778" w14:paraId="6B77CADE" w14:textId="77777777">
        <w:tblPrEx>
          <w:tblCellMar>
            <w:top w:w="0" w:type="dxa"/>
            <w:bottom w:w="0" w:type="dxa"/>
          </w:tblCellMar>
        </w:tblPrEx>
        <w:tc>
          <w:tcPr>
            <w:tcW w:w="850" w:type="dxa"/>
          </w:tcPr>
          <w:p w14:paraId="559FDD96"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1049B9B" w14:textId="77777777" w:rsidR="00207778" w:rsidRDefault="00207778">
            <w:pPr>
              <w:spacing w:line="240" w:lineRule="auto"/>
              <w:rPr>
                <w:sz w:val="24"/>
              </w:rPr>
            </w:pPr>
            <w:hyperlink w:anchor="Seif21" w:tooltip="מחיקת ההשגה" w:history="1">
              <w:r>
                <w:rPr>
                  <w:rStyle w:val="Hyperlink"/>
                </w:rPr>
                <w:t>Go</w:t>
              </w:r>
            </w:hyperlink>
          </w:p>
        </w:tc>
        <w:tc>
          <w:tcPr>
            <w:tcW w:w="5669" w:type="dxa"/>
          </w:tcPr>
          <w:p w14:paraId="58D285FD" w14:textId="77777777" w:rsidR="00207778" w:rsidRDefault="00207778">
            <w:pPr>
              <w:spacing w:line="240" w:lineRule="auto"/>
              <w:rPr>
                <w:sz w:val="24"/>
                <w:rtl/>
              </w:rPr>
            </w:pPr>
            <w:r>
              <w:rPr>
                <w:sz w:val="24"/>
                <w:rtl/>
              </w:rPr>
              <w:t>מחיקת ההשגה</w:t>
            </w:r>
          </w:p>
        </w:tc>
        <w:tc>
          <w:tcPr>
            <w:tcW w:w="1247" w:type="dxa"/>
          </w:tcPr>
          <w:p w14:paraId="1F6B1E58" w14:textId="77777777" w:rsidR="00207778" w:rsidRDefault="00207778">
            <w:pPr>
              <w:spacing w:line="240" w:lineRule="auto"/>
              <w:rPr>
                <w:sz w:val="24"/>
              </w:rPr>
            </w:pPr>
            <w:r>
              <w:rPr>
                <w:sz w:val="24"/>
                <w:rtl/>
              </w:rPr>
              <w:t xml:space="preserve">סעיף 22 </w:t>
            </w:r>
          </w:p>
        </w:tc>
      </w:tr>
      <w:tr w:rsidR="00207778" w14:paraId="01D6DCDD" w14:textId="77777777">
        <w:tblPrEx>
          <w:tblCellMar>
            <w:top w:w="0" w:type="dxa"/>
            <w:bottom w:w="0" w:type="dxa"/>
          </w:tblCellMar>
        </w:tblPrEx>
        <w:tc>
          <w:tcPr>
            <w:tcW w:w="850" w:type="dxa"/>
          </w:tcPr>
          <w:p w14:paraId="6DAE89A0"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BE2BD61" w14:textId="77777777" w:rsidR="00207778" w:rsidRDefault="00207778">
            <w:pPr>
              <w:spacing w:line="240" w:lineRule="auto"/>
              <w:rPr>
                <w:sz w:val="24"/>
              </w:rPr>
            </w:pPr>
            <w:hyperlink w:anchor="Seif22" w:tooltip="סמכויות הועדה" w:history="1">
              <w:r>
                <w:rPr>
                  <w:rStyle w:val="Hyperlink"/>
                </w:rPr>
                <w:t>Go</w:t>
              </w:r>
            </w:hyperlink>
          </w:p>
        </w:tc>
        <w:tc>
          <w:tcPr>
            <w:tcW w:w="5669" w:type="dxa"/>
          </w:tcPr>
          <w:p w14:paraId="24880EA0" w14:textId="77777777" w:rsidR="00207778" w:rsidRDefault="00207778">
            <w:pPr>
              <w:spacing w:line="240" w:lineRule="auto"/>
              <w:rPr>
                <w:sz w:val="24"/>
                <w:rtl/>
              </w:rPr>
            </w:pPr>
            <w:r>
              <w:rPr>
                <w:sz w:val="24"/>
                <w:rtl/>
              </w:rPr>
              <w:t>סמכויות הועדה</w:t>
            </w:r>
          </w:p>
        </w:tc>
        <w:tc>
          <w:tcPr>
            <w:tcW w:w="1247" w:type="dxa"/>
          </w:tcPr>
          <w:p w14:paraId="12A5E88B" w14:textId="77777777" w:rsidR="00207778" w:rsidRDefault="00207778">
            <w:pPr>
              <w:spacing w:line="240" w:lineRule="auto"/>
              <w:rPr>
                <w:sz w:val="24"/>
              </w:rPr>
            </w:pPr>
            <w:r>
              <w:rPr>
                <w:sz w:val="24"/>
                <w:rtl/>
              </w:rPr>
              <w:t xml:space="preserve">סעיף 23 </w:t>
            </w:r>
          </w:p>
        </w:tc>
      </w:tr>
      <w:tr w:rsidR="00207778" w14:paraId="495C2AD0" w14:textId="77777777">
        <w:tblPrEx>
          <w:tblCellMar>
            <w:top w:w="0" w:type="dxa"/>
            <w:bottom w:w="0" w:type="dxa"/>
          </w:tblCellMar>
        </w:tblPrEx>
        <w:tc>
          <w:tcPr>
            <w:tcW w:w="850" w:type="dxa"/>
          </w:tcPr>
          <w:p w14:paraId="2AE3BEE3"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E1ED192" w14:textId="77777777" w:rsidR="00207778" w:rsidRDefault="00207778">
            <w:pPr>
              <w:spacing w:line="240" w:lineRule="auto"/>
              <w:rPr>
                <w:sz w:val="24"/>
              </w:rPr>
            </w:pPr>
            <w:hyperlink w:anchor="Seif23" w:tooltip="החלטה" w:history="1">
              <w:r>
                <w:rPr>
                  <w:rStyle w:val="Hyperlink"/>
                </w:rPr>
                <w:t>Go</w:t>
              </w:r>
            </w:hyperlink>
          </w:p>
        </w:tc>
        <w:tc>
          <w:tcPr>
            <w:tcW w:w="5669" w:type="dxa"/>
          </w:tcPr>
          <w:p w14:paraId="7F5ACD57" w14:textId="77777777" w:rsidR="00207778" w:rsidRDefault="00207778">
            <w:pPr>
              <w:spacing w:line="240" w:lineRule="auto"/>
              <w:rPr>
                <w:sz w:val="24"/>
                <w:rtl/>
              </w:rPr>
            </w:pPr>
            <w:r>
              <w:rPr>
                <w:sz w:val="24"/>
                <w:rtl/>
              </w:rPr>
              <w:t>החלטה</w:t>
            </w:r>
          </w:p>
        </w:tc>
        <w:tc>
          <w:tcPr>
            <w:tcW w:w="1247" w:type="dxa"/>
          </w:tcPr>
          <w:p w14:paraId="598473D2" w14:textId="77777777" w:rsidR="00207778" w:rsidRDefault="00207778">
            <w:pPr>
              <w:spacing w:line="240" w:lineRule="auto"/>
              <w:rPr>
                <w:sz w:val="24"/>
              </w:rPr>
            </w:pPr>
            <w:r>
              <w:rPr>
                <w:sz w:val="24"/>
                <w:rtl/>
              </w:rPr>
              <w:t xml:space="preserve">סעיף 24 </w:t>
            </w:r>
          </w:p>
        </w:tc>
      </w:tr>
      <w:tr w:rsidR="00207778" w14:paraId="0C106C3E" w14:textId="77777777">
        <w:tblPrEx>
          <w:tblCellMar>
            <w:top w:w="0" w:type="dxa"/>
            <w:bottom w:w="0" w:type="dxa"/>
          </w:tblCellMar>
        </w:tblPrEx>
        <w:tc>
          <w:tcPr>
            <w:tcW w:w="850" w:type="dxa"/>
          </w:tcPr>
          <w:p w14:paraId="6FE33A23"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B3A42FA" w14:textId="77777777" w:rsidR="00207778" w:rsidRDefault="00207778">
            <w:pPr>
              <w:spacing w:line="240" w:lineRule="auto"/>
              <w:rPr>
                <w:sz w:val="24"/>
              </w:rPr>
            </w:pPr>
            <w:hyperlink w:anchor="Seif24" w:tooltip="עיון חוזר" w:history="1">
              <w:r>
                <w:rPr>
                  <w:rStyle w:val="Hyperlink"/>
                </w:rPr>
                <w:t>Go</w:t>
              </w:r>
            </w:hyperlink>
          </w:p>
        </w:tc>
        <w:tc>
          <w:tcPr>
            <w:tcW w:w="5669" w:type="dxa"/>
          </w:tcPr>
          <w:p w14:paraId="0528712D" w14:textId="77777777" w:rsidR="00207778" w:rsidRDefault="00207778">
            <w:pPr>
              <w:spacing w:line="240" w:lineRule="auto"/>
              <w:rPr>
                <w:sz w:val="24"/>
                <w:rtl/>
              </w:rPr>
            </w:pPr>
            <w:r>
              <w:rPr>
                <w:sz w:val="24"/>
                <w:rtl/>
              </w:rPr>
              <w:t>עיון חוזר</w:t>
            </w:r>
          </w:p>
        </w:tc>
        <w:tc>
          <w:tcPr>
            <w:tcW w:w="1247" w:type="dxa"/>
          </w:tcPr>
          <w:p w14:paraId="7B8A84AA" w14:textId="77777777" w:rsidR="00207778" w:rsidRDefault="00207778">
            <w:pPr>
              <w:spacing w:line="240" w:lineRule="auto"/>
              <w:rPr>
                <w:sz w:val="24"/>
              </w:rPr>
            </w:pPr>
            <w:r>
              <w:rPr>
                <w:sz w:val="24"/>
                <w:rtl/>
              </w:rPr>
              <w:t xml:space="preserve">סעיף 25 </w:t>
            </w:r>
          </w:p>
        </w:tc>
      </w:tr>
      <w:tr w:rsidR="00207778" w14:paraId="27E33AAF" w14:textId="77777777">
        <w:tblPrEx>
          <w:tblCellMar>
            <w:top w:w="0" w:type="dxa"/>
            <w:bottom w:w="0" w:type="dxa"/>
          </w:tblCellMar>
        </w:tblPrEx>
        <w:tc>
          <w:tcPr>
            <w:tcW w:w="850" w:type="dxa"/>
          </w:tcPr>
          <w:p w14:paraId="6D152B03" w14:textId="77777777" w:rsidR="00207778" w:rsidRDefault="00207778">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01FFD89" w14:textId="77777777" w:rsidR="00207778" w:rsidRDefault="00207778">
            <w:pPr>
              <w:spacing w:line="240" w:lineRule="auto"/>
              <w:rPr>
                <w:sz w:val="24"/>
              </w:rPr>
            </w:pPr>
            <w:hyperlink w:anchor="Seif25" w:tooltip="תחולה" w:history="1">
              <w:r>
                <w:rPr>
                  <w:rStyle w:val="Hyperlink"/>
                </w:rPr>
                <w:t>Go</w:t>
              </w:r>
            </w:hyperlink>
          </w:p>
        </w:tc>
        <w:tc>
          <w:tcPr>
            <w:tcW w:w="5669" w:type="dxa"/>
          </w:tcPr>
          <w:p w14:paraId="464E5CE4" w14:textId="77777777" w:rsidR="00207778" w:rsidRDefault="00207778">
            <w:pPr>
              <w:spacing w:line="240" w:lineRule="auto"/>
              <w:rPr>
                <w:sz w:val="24"/>
                <w:rtl/>
              </w:rPr>
            </w:pPr>
            <w:r>
              <w:rPr>
                <w:sz w:val="24"/>
                <w:rtl/>
              </w:rPr>
              <w:t>תחולה</w:t>
            </w:r>
          </w:p>
        </w:tc>
        <w:tc>
          <w:tcPr>
            <w:tcW w:w="1247" w:type="dxa"/>
          </w:tcPr>
          <w:p w14:paraId="474E74CA" w14:textId="77777777" w:rsidR="00207778" w:rsidRDefault="00207778">
            <w:pPr>
              <w:spacing w:line="240" w:lineRule="auto"/>
              <w:rPr>
                <w:sz w:val="24"/>
              </w:rPr>
            </w:pPr>
            <w:r>
              <w:rPr>
                <w:sz w:val="24"/>
                <w:rtl/>
              </w:rPr>
              <w:t xml:space="preserve">סעיף 26 </w:t>
            </w:r>
          </w:p>
        </w:tc>
      </w:tr>
    </w:tbl>
    <w:p w14:paraId="534F021F" w14:textId="77777777" w:rsidR="00F7016D" w:rsidRDefault="00F7016D" w:rsidP="00F7016D">
      <w:pPr>
        <w:pStyle w:val="big-header"/>
        <w:ind w:left="0" w:right="1134"/>
        <w:rPr>
          <w:rtl/>
        </w:rPr>
      </w:pPr>
    </w:p>
    <w:p w14:paraId="19114218" w14:textId="77777777" w:rsidR="00F7016D" w:rsidRDefault="00F7016D" w:rsidP="00F7016D">
      <w:pPr>
        <w:pStyle w:val="big-header"/>
        <w:ind w:left="0" w:right="1134"/>
        <w:rPr>
          <w:rStyle w:val="default"/>
          <w:rFonts w:cs="FrankRuehl" w:hint="cs"/>
          <w:rtl/>
        </w:rPr>
      </w:pPr>
      <w:r>
        <w:rPr>
          <w:rtl/>
        </w:rPr>
        <w:br w:type="page"/>
      </w:r>
      <w:r>
        <w:rPr>
          <w:rFonts w:hint="cs"/>
          <w:rtl/>
        </w:rPr>
        <w:lastRenderedPageBreak/>
        <w:t>תקנות שירות הביטחון הכללי (הודעה למעביד בדבר דרישות סיווג ביטחוני לעובדיו, הודעה לאדם בדבר אי התאמה ביטחונית וועדת השגה על קביעת אי התאמה ביטחונית), תשס"ג-2003</w:t>
      </w:r>
      <w:r>
        <w:rPr>
          <w:rStyle w:val="default"/>
          <w:sz w:val="22"/>
          <w:szCs w:val="22"/>
          <w:rtl/>
        </w:rPr>
        <w:footnoteReference w:customMarkFollows="1" w:id="2"/>
        <w:t>*</w:t>
      </w:r>
    </w:p>
    <w:p w14:paraId="46215C99" w14:textId="77777777" w:rsidR="00207778" w:rsidRDefault="00207778">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סעיפים 15(ב)(2), 19(א) ו-21(א) לחוק שירות הביטחון הכללי, התשס"ב-2002 (להלן </w:t>
      </w:r>
      <w:r>
        <w:rPr>
          <w:rStyle w:val="default"/>
          <w:rFonts w:cs="FrankRuehl"/>
          <w:rtl/>
        </w:rPr>
        <w:t>–</w:t>
      </w:r>
      <w:r>
        <w:rPr>
          <w:rStyle w:val="default"/>
          <w:rFonts w:cs="FrankRuehl" w:hint="cs"/>
          <w:rtl/>
        </w:rPr>
        <w:t xml:space="preserve"> החוק), ובאישור ועדת השרים וועדת הכנסת לעניני השירות, אני מתקין תקנות אלה:</w:t>
      </w:r>
    </w:p>
    <w:p w14:paraId="08EA372C" w14:textId="77777777" w:rsidR="00207778" w:rsidRDefault="00207778">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א': פרשנות</w:t>
      </w:r>
    </w:p>
    <w:p w14:paraId="1C534171" w14:textId="77777777" w:rsidR="00207778" w:rsidRDefault="00207778">
      <w:pPr>
        <w:pStyle w:val="P00"/>
        <w:spacing w:before="72"/>
        <w:ind w:left="0" w:right="1134"/>
        <w:rPr>
          <w:rStyle w:val="default"/>
          <w:rFonts w:cs="FrankRuehl" w:hint="cs"/>
          <w:rtl/>
        </w:rPr>
      </w:pPr>
      <w:bookmarkStart w:id="0" w:name="Seif0"/>
      <w:bookmarkEnd w:id="0"/>
      <w:r>
        <w:rPr>
          <w:lang w:val="he-IL"/>
        </w:rPr>
        <w:pict w14:anchorId="6DE4457B">
          <v:rect id="_x0000_s1026" style="position:absolute;left:0;text-align:left;margin-left:464.5pt;margin-top:8.05pt;width:75.05pt;height:10.4pt;z-index:251643392" o:allowincell="f" filled="f" stroked="f" strokecolor="lime" strokeweight=".25pt">
            <v:textbox style="mso-next-textbox:#_x0000_s1026" inset="0,0,0,0">
              <w:txbxContent>
                <w:p w14:paraId="563FA554" w14:textId="77777777" w:rsidR="00207778" w:rsidRDefault="00207778">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14:paraId="41025734" w14:textId="77777777" w:rsidR="00207778" w:rsidRDefault="00207778">
      <w:pPr>
        <w:pStyle w:val="P00"/>
        <w:spacing w:before="72"/>
        <w:ind w:left="0" w:right="1134"/>
        <w:rPr>
          <w:rStyle w:val="default"/>
          <w:rFonts w:cs="FrankRuehl" w:hint="cs"/>
          <w:rtl/>
        </w:rPr>
      </w:pPr>
      <w:r>
        <w:rPr>
          <w:rStyle w:val="default"/>
          <w:rFonts w:cs="FrankRuehl" w:hint="cs"/>
          <w:rtl/>
        </w:rPr>
        <w:tab/>
        <w:t xml:space="preserve">"השירות" </w:t>
      </w:r>
      <w:r>
        <w:rPr>
          <w:rStyle w:val="default"/>
          <w:rFonts w:cs="FrankRuehl"/>
          <w:rtl/>
        </w:rPr>
        <w:t>–</w:t>
      </w:r>
      <w:r>
        <w:rPr>
          <w:rStyle w:val="default"/>
          <w:rFonts w:cs="FrankRuehl" w:hint="cs"/>
          <w:rtl/>
        </w:rPr>
        <w:t xml:space="preserve"> שירות הביטחון הכללי;</w:t>
      </w:r>
    </w:p>
    <w:p w14:paraId="11D846DA" w14:textId="77777777" w:rsidR="00207778" w:rsidRDefault="00207778">
      <w:pPr>
        <w:pStyle w:val="P00"/>
        <w:spacing w:before="72"/>
        <w:ind w:left="0" w:right="1134"/>
        <w:rPr>
          <w:rStyle w:val="default"/>
          <w:rFonts w:cs="FrankRuehl" w:hint="cs"/>
          <w:rtl/>
        </w:rPr>
      </w:pPr>
      <w:r>
        <w:rPr>
          <w:rStyle w:val="default"/>
          <w:rFonts w:cs="FrankRuehl" w:hint="cs"/>
          <w:rtl/>
        </w:rPr>
        <w:tab/>
        <w:t xml:space="preserve">"רשות ביטחון" </w:t>
      </w:r>
      <w:r>
        <w:rPr>
          <w:rStyle w:val="default"/>
          <w:rFonts w:cs="FrankRuehl"/>
          <w:rtl/>
        </w:rPr>
        <w:t>–</w:t>
      </w:r>
      <w:r>
        <w:rPr>
          <w:rStyle w:val="default"/>
          <w:rFonts w:cs="FrankRuehl" w:hint="cs"/>
          <w:rtl/>
        </w:rPr>
        <w:t xml:space="preserve"> כל אחת מאלה:</w:t>
      </w:r>
    </w:p>
    <w:p w14:paraId="3122CE52" w14:textId="77777777" w:rsidR="00207778" w:rsidRDefault="002077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צבא הגנה לישראל;</w:t>
      </w:r>
    </w:p>
    <w:p w14:paraId="1F51F150" w14:textId="77777777" w:rsidR="00207778" w:rsidRDefault="002077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המוסד למודיעין ולתפקידים מיוחדים;</w:t>
      </w:r>
    </w:p>
    <w:p w14:paraId="25A35584" w14:textId="77777777" w:rsidR="00207778" w:rsidRDefault="0020777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משטרת ישראל ושירות בתי הסוהר;</w:t>
      </w:r>
    </w:p>
    <w:p w14:paraId="06147F6D" w14:textId="77777777" w:rsidR="00207778" w:rsidRDefault="0020777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מערכת הביטחון;</w:t>
      </w:r>
    </w:p>
    <w:p w14:paraId="5B691D3C" w14:textId="77777777" w:rsidR="00207778" w:rsidRDefault="00207778">
      <w:pPr>
        <w:pStyle w:val="P00"/>
        <w:spacing w:before="72"/>
        <w:ind w:left="0" w:right="1134"/>
        <w:rPr>
          <w:rStyle w:val="default"/>
          <w:rFonts w:cs="FrankRuehl" w:hint="cs"/>
          <w:rtl/>
        </w:rPr>
      </w:pPr>
      <w:r>
        <w:rPr>
          <w:rStyle w:val="default"/>
          <w:rFonts w:cs="FrankRuehl" w:hint="cs"/>
          <w:rtl/>
        </w:rPr>
        <w:tab/>
        <w:t xml:space="preserve">"הגורם המפנה" </w:t>
      </w:r>
      <w:r>
        <w:rPr>
          <w:rStyle w:val="default"/>
          <w:rFonts w:cs="FrankRuehl"/>
          <w:rtl/>
        </w:rPr>
        <w:t>–</w:t>
      </w:r>
      <w:r>
        <w:rPr>
          <w:rStyle w:val="default"/>
          <w:rFonts w:cs="FrankRuehl" w:hint="cs"/>
          <w:rtl/>
        </w:rPr>
        <w:t xml:space="preserve"> הגורם שלבקשתו ביצע השירות בדיקת התאמה ביטחונית של אדם לתפקיד או למשרה שסווגו בסיווג ביטחוני;</w:t>
      </w:r>
    </w:p>
    <w:p w14:paraId="6A93802E" w14:textId="77777777" w:rsidR="00207778" w:rsidRDefault="00207778">
      <w:pPr>
        <w:pStyle w:val="P00"/>
        <w:spacing w:before="72"/>
        <w:ind w:left="0" w:right="1134"/>
        <w:rPr>
          <w:rStyle w:val="default"/>
          <w:rFonts w:cs="FrankRuehl" w:hint="cs"/>
          <w:rtl/>
        </w:rPr>
      </w:pPr>
      <w:r>
        <w:rPr>
          <w:rStyle w:val="default"/>
          <w:rFonts w:cs="FrankRuehl" w:hint="cs"/>
          <w:rtl/>
        </w:rPr>
        <w:tab/>
        <w:t xml:space="preserve">"הועדה" </w:t>
      </w:r>
      <w:r>
        <w:rPr>
          <w:rStyle w:val="default"/>
          <w:rFonts w:cs="FrankRuehl"/>
          <w:rtl/>
        </w:rPr>
        <w:t>–</w:t>
      </w:r>
      <w:r>
        <w:rPr>
          <w:rStyle w:val="default"/>
          <w:rFonts w:cs="FrankRuehl" w:hint="cs"/>
          <w:rtl/>
        </w:rPr>
        <w:t xml:space="preserve"> ועדת השגה שמונתה מכוח סעיף 15(ב)(1) לחוק, לשם בירור השגות על החלטות בדבר אי התאמה ביטחונית;</w:t>
      </w:r>
    </w:p>
    <w:p w14:paraId="37A94871" w14:textId="77777777" w:rsidR="00207778" w:rsidRDefault="00207778">
      <w:pPr>
        <w:pStyle w:val="P00"/>
        <w:spacing w:before="72"/>
        <w:ind w:left="0" w:right="1134"/>
        <w:rPr>
          <w:rStyle w:val="default"/>
          <w:rFonts w:cs="FrankRuehl" w:hint="cs"/>
          <w:rtl/>
        </w:rPr>
      </w:pPr>
      <w:r>
        <w:rPr>
          <w:rStyle w:val="default"/>
          <w:rFonts w:cs="FrankRuehl" w:hint="cs"/>
          <w:rtl/>
        </w:rPr>
        <w:tab/>
        <w:t xml:space="preserve">"ממונה ביטחון" </w:t>
      </w:r>
      <w:r>
        <w:rPr>
          <w:rStyle w:val="default"/>
          <w:rFonts w:cs="FrankRuehl"/>
          <w:rtl/>
        </w:rPr>
        <w:t>–</w:t>
      </w:r>
      <w:r>
        <w:rPr>
          <w:rStyle w:val="default"/>
          <w:rFonts w:cs="FrankRuehl" w:hint="cs"/>
          <w:rtl/>
        </w:rPr>
        <w:t xml:space="preserve"> כהגדרתו בחוק להסדרת הביטחון בגופים ציבוריים, התשנ"ח-1998;</w:t>
      </w:r>
    </w:p>
    <w:p w14:paraId="744CE7D2" w14:textId="77777777" w:rsidR="00207778" w:rsidRDefault="00207778">
      <w:pPr>
        <w:pStyle w:val="P00"/>
        <w:spacing w:before="72"/>
        <w:ind w:left="0" w:right="1134"/>
        <w:rPr>
          <w:rStyle w:val="default"/>
          <w:rFonts w:cs="FrankRuehl" w:hint="cs"/>
          <w:rtl/>
        </w:rPr>
      </w:pPr>
      <w:r>
        <w:rPr>
          <w:rStyle w:val="default"/>
          <w:rFonts w:cs="FrankRuehl" w:hint="cs"/>
          <w:rtl/>
        </w:rPr>
        <w:tab/>
        <w:t xml:space="preserve">"מערכת הביטחון" </w:t>
      </w:r>
      <w:r>
        <w:rPr>
          <w:rStyle w:val="default"/>
          <w:rFonts w:cs="FrankRuehl"/>
          <w:rtl/>
        </w:rPr>
        <w:t>–</w:t>
      </w:r>
      <w:r>
        <w:rPr>
          <w:rStyle w:val="default"/>
          <w:rFonts w:cs="FrankRuehl" w:hint="cs"/>
          <w:rtl/>
        </w:rPr>
        <w:t xml:space="preserve"> משרד הביטחון, יחידות סמך של משרד הביטחון, הועדה לאנרגיה אטומית, הקריה למחקר גרעיני (קמ"ג), המרכז למחקר גרעיני (ממ"ג) והמכון הביולוגי, וכן ספקים ומפעלים המפתחים או המייצרים מוצרים בעבור מי מאלה, שהמידע לגביהם מסווג, או שנדרשת כניסתם למיתקנים ולאתרים שהכניסה אליהם מוגבלת מטעמי ביטחון.</w:t>
      </w:r>
    </w:p>
    <w:p w14:paraId="45665C26" w14:textId="77777777" w:rsidR="00207778" w:rsidRDefault="00207778">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ב': הודעה למעביד בדבר דרישות סיווג ביטחוני לעובדיו</w:t>
      </w:r>
    </w:p>
    <w:p w14:paraId="02E9F733" w14:textId="77777777" w:rsidR="00207778" w:rsidRDefault="00207778">
      <w:pPr>
        <w:pStyle w:val="P00"/>
        <w:spacing w:before="72"/>
        <w:ind w:left="0" w:right="1134"/>
        <w:rPr>
          <w:rStyle w:val="default"/>
          <w:rFonts w:cs="FrankRuehl" w:hint="cs"/>
          <w:rtl/>
        </w:rPr>
      </w:pPr>
      <w:bookmarkStart w:id="1" w:name="Seif1"/>
      <w:bookmarkEnd w:id="1"/>
      <w:r>
        <w:rPr>
          <w:rFonts w:cs="Miriam"/>
          <w:szCs w:val="32"/>
          <w:rtl/>
          <w:lang w:val="he-IL"/>
        </w:rPr>
        <w:pict w14:anchorId="694A6090">
          <v:shapetype id="_x0000_t202" coordsize="21600,21600" o:spt="202" path="m,l,21600r21600,l21600,xe">
            <v:stroke joinstyle="miter"/>
            <v:path gradientshapeok="t" o:connecttype="rect"/>
          </v:shapetype>
          <v:shape id="_x0000_s1036" type="#_x0000_t202" style="position:absolute;left:0;text-align:left;margin-left:470.25pt;margin-top:2.2pt;width:1in;height:22.35pt;z-index:251644416" filled="f" stroked="f">
            <v:textbox inset="1mm,,1mm">
              <w:txbxContent>
                <w:p w14:paraId="09BBF1FE" w14:textId="77777777" w:rsidR="00207778" w:rsidRDefault="00207778">
                  <w:pPr>
                    <w:pStyle w:val="3"/>
                    <w:rPr>
                      <w:rFonts w:hint="cs"/>
                      <w:rtl/>
                    </w:rPr>
                  </w:pPr>
                  <w:r>
                    <w:rPr>
                      <w:rFonts w:hint="cs"/>
                      <w:rtl/>
                    </w:rPr>
                    <w:t>סיווג ביטחוני של משרה או תפקיד</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סיווג ביטחוני הוא קביעה של רמת רגישותם הביטחונית של תפקיד או משרה, הנגזרת, בין השאר, מסוג המידע שאליו נחשף המשמש בתפקיד או במשרה וכן מהסיכונים הנובעים מאפשרות ניצול התפקיד או המשרה לשם גרימת נזק לביטחון המדינה.</w:t>
      </w:r>
    </w:p>
    <w:p w14:paraId="64BD0763" w14:textId="77777777" w:rsidR="00207778" w:rsidRDefault="00207778">
      <w:pPr>
        <w:pStyle w:val="P00"/>
        <w:spacing w:before="72"/>
        <w:ind w:left="0" w:right="1134"/>
        <w:rPr>
          <w:rStyle w:val="default"/>
          <w:rFonts w:cs="FrankRuehl" w:hint="cs"/>
          <w:rtl/>
        </w:rPr>
      </w:pPr>
      <w:bookmarkStart w:id="2" w:name="Seif2"/>
      <w:bookmarkEnd w:id="2"/>
      <w:r>
        <w:rPr>
          <w:rFonts w:cs="Miriam"/>
          <w:szCs w:val="32"/>
          <w:rtl/>
          <w:lang w:val="he-IL"/>
        </w:rPr>
        <w:pict w14:anchorId="65676F45">
          <v:shape id="_x0000_s1099" type="#_x0000_t202" style="position:absolute;left:0;text-align:left;margin-left:470.25pt;margin-top:2.8pt;width:1in;height:20.6pt;z-index:251645440" filled="f" stroked="f">
            <v:textbox inset="1mm,,1mm">
              <w:txbxContent>
                <w:p w14:paraId="3B3499F9" w14:textId="77777777" w:rsidR="00207778" w:rsidRDefault="00207778">
                  <w:pPr>
                    <w:pStyle w:val="3"/>
                    <w:rPr>
                      <w:rFonts w:hint="cs"/>
                      <w:rtl/>
                    </w:rPr>
                  </w:pPr>
                  <w:r>
                    <w:rPr>
                      <w:rFonts w:hint="cs"/>
                      <w:rtl/>
                    </w:rPr>
                    <w:t>הודעה למעביד</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 xml:space="preserve">ראש האגף בשירות המופקד על הנושא (להלן </w:t>
      </w:r>
      <w:r>
        <w:rPr>
          <w:rStyle w:val="default"/>
          <w:rFonts w:cs="FrankRuehl"/>
          <w:rtl/>
        </w:rPr>
        <w:t>–</w:t>
      </w:r>
      <w:r>
        <w:rPr>
          <w:rStyle w:val="default"/>
          <w:rFonts w:cs="FrankRuehl" w:hint="cs"/>
          <w:rtl/>
        </w:rPr>
        <w:t xml:space="preserve"> ראש האגף) יעביר לממונה ביטחון או למנהל גוף בשירות הציבורי ולמנהל גוף אחר כפי שקבעה הממשלה לפי סעיף 7(ב)(3) לחוק, למעט ברשות ביטחון, הודעה בכתב בדבר דרישות הסיווג הביטחוני למשרות ולתפקידים, באותם גופים, אשר תכלול, בין השאר, ענינים אלה:</w:t>
      </w:r>
    </w:p>
    <w:p w14:paraId="42D15315" w14:textId="77777777" w:rsidR="00207778" w:rsidRDefault="002077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הגדרת רמות הסיווג הביטחוני, לתפקיד או למשרה, כפי שנקבעו בכללים;</w:t>
      </w:r>
    </w:p>
    <w:p w14:paraId="736D2F9B" w14:textId="77777777" w:rsidR="00207778" w:rsidRDefault="002077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הוראה כי העסקתו של אדם בתפקיד או במשרה אשר לגביהם נקבע סיווג ביטחוני, תהיה מותנית באישור התאמתו הביטחונית לתפקיד או למשרה;</w:t>
      </w:r>
    </w:p>
    <w:p w14:paraId="3EC84B7D" w14:textId="77777777" w:rsidR="00207778" w:rsidRDefault="0020777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הנחיות מקצועיות לביצוע הסיווג הביטחוני של תפקידים ומשרות, בהתאם לכללים מכוח סעיף 7(ב)(3) לחוק, לרבות הנחיות בענין בקרה ודיווח.</w:t>
      </w:r>
    </w:p>
    <w:p w14:paraId="2504CFC1"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לענין משרות ותפקידים ברשות ביטחון, ייתן ראש האגף </w:t>
      </w:r>
      <w:r>
        <w:rPr>
          <w:rStyle w:val="default"/>
          <w:rFonts w:cs="FrankRuehl"/>
          <w:rtl/>
        </w:rPr>
        <w:t>–</w:t>
      </w:r>
      <w:r>
        <w:rPr>
          <w:rStyle w:val="default"/>
          <w:rFonts w:cs="FrankRuehl" w:hint="cs"/>
          <w:rtl/>
        </w:rPr>
        <w:t xml:space="preserve"> על דעת הגורם המופקד </w:t>
      </w:r>
      <w:r>
        <w:rPr>
          <w:rStyle w:val="default"/>
          <w:rFonts w:cs="FrankRuehl" w:hint="cs"/>
          <w:rtl/>
        </w:rPr>
        <w:lastRenderedPageBreak/>
        <w:t xml:space="preserve">על הנושא ברשות הביטחון </w:t>
      </w:r>
      <w:r>
        <w:rPr>
          <w:rStyle w:val="default"/>
          <w:rFonts w:cs="FrankRuehl"/>
          <w:rtl/>
        </w:rPr>
        <w:t>–</w:t>
      </w:r>
      <w:r>
        <w:rPr>
          <w:rStyle w:val="default"/>
          <w:rFonts w:cs="FrankRuehl" w:hint="cs"/>
          <w:rtl/>
        </w:rPr>
        <w:t xml:space="preserve"> הנחיות כלליות לענין סיווג ביטחוני של תפקידים או משרות, והגורם המופקד ברשות הביטחון כאמור ייתן, כפי שיראה לנכון, הוראות משלימות ומפורטות לביצוע הסיווג של התפקידים והמשרות שבתחום אחריותו.</w:t>
      </w:r>
    </w:p>
    <w:p w14:paraId="44A2F4AE" w14:textId="77777777" w:rsidR="00207778" w:rsidRDefault="00207778">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לענין משרות ותפקידים בכנסת, לרבות משמר הכנסת, ייתן ראש האגף, על דעת הגורם המופקד על הנושא בכנסת, הנחיות כלליות לענין סיווג ביטחוני של תפקידים או משרות והגורם המופקד על הנושא בכנסת כאמור, ייתן, כפי שיראה לנכון, הוראות משלימות ומפורטות לביצוע הסיווג של התפקידים והמשרות שבתחום אחריותו.</w:t>
      </w:r>
    </w:p>
    <w:p w14:paraId="3A91A1AF" w14:textId="77777777" w:rsidR="00121433" w:rsidRPr="00F7016D" w:rsidRDefault="00121433" w:rsidP="00121433">
      <w:pPr>
        <w:pStyle w:val="P00"/>
        <w:spacing w:before="72"/>
        <w:ind w:left="0" w:right="1134"/>
        <w:rPr>
          <w:rStyle w:val="default"/>
          <w:rFonts w:cs="FrankRuehl" w:hint="cs"/>
          <w:rtl/>
        </w:rPr>
      </w:pPr>
      <w:r w:rsidRPr="00F7016D">
        <w:rPr>
          <w:rStyle w:val="default"/>
          <w:rFonts w:cs="FrankRuehl" w:hint="cs"/>
          <w:rtl/>
        </w:rPr>
        <w:pict w14:anchorId="4C2486AD">
          <v:shape id="_x0000_s1125" type="#_x0000_t202" style="position:absolute;left:0;text-align:left;margin-left:470.25pt;margin-top:7.1pt;width:1in;height:10.5pt;z-index:251671040" filled="f" stroked="f">
            <v:textbox inset="1mm,0,1mm,0">
              <w:txbxContent>
                <w:p w14:paraId="65C06470" w14:textId="77777777" w:rsidR="00121433" w:rsidRDefault="00121433" w:rsidP="00121433">
                  <w:pPr>
                    <w:spacing w:line="160" w:lineRule="exact"/>
                    <w:jc w:val="left"/>
                    <w:rPr>
                      <w:rFonts w:cs="Miriam" w:hint="cs"/>
                      <w:noProof/>
                      <w:szCs w:val="18"/>
                      <w:rtl/>
                    </w:rPr>
                  </w:pPr>
                  <w:r>
                    <w:rPr>
                      <w:rFonts w:cs="Miriam" w:hint="cs"/>
                      <w:szCs w:val="18"/>
                      <w:rtl/>
                    </w:rPr>
                    <w:t>תק' תשע"ט-2019</w:t>
                  </w:r>
                </w:p>
              </w:txbxContent>
            </v:textbox>
          </v:shape>
        </w:pict>
      </w:r>
      <w:r w:rsidRPr="00F7016D">
        <w:rPr>
          <w:rStyle w:val="default"/>
          <w:rFonts w:cs="FrankRuehl" w:hint="cs"/>
          <w:rtl/>
        </w:rPr>
        <w:tab/>
        <w:t>(</w:t>
      </w:r>
      <w:r>
        <w:rPr>
          <w:rStyle w:val="default"/>
          <w:rFonts w:cs="FrankRuehl" w:hint="cs"/>
          <w:rtl/>
        </w:rPr>
        <w:t>ד)</w:t>
      </w:r>
      <w:r>
        <w:rPr>
          <w:rStyle w:val="default"/>
          <w:rFonts w:cs="FrankRuehl"/>
          <w:rtl/>
        </w:rPr>
        <w:tab/>
      </w:r>
      <w:r>
        <w:rPr>
          <w:rStyle w:val="default"/>
          <w:rFonts w:cs="FrankRuehl" w:hint="cs"/>
          <w:rtl/>
        </w:rPr>
        <w:t>לעניין משרות ותפקידים במשרד מבקר המדינה, ייתן ראש האגף, על דעת ממונה הביטחון במשרד מבקר המדינה, כמשמעותו בסעיף 22א לחוק מבקר המדינה, התשי"ח-1958 [נוסח משולב], הנחיות כלליות לעניין סיווג ביטחוני של תפקידים או משרות, וממונה הביטחון במשרד מבקר המדינה, כאמור, ייתן, כפי שיראה לנכון, הוראות משלימות ומפורטות לביצוע סיווג של תפקידים ומשרות שבתחום אחריותו</w:t>
      </w:r>
      <w:r w:rsidRPr="00F7016D">
        <w:rPr>
          <w:rStyle w:val="default"/>
          <w:rFonts w:cs="FrankRuehl" w:hint="cs"/>
          <w:rtl/>
        </w:rPr>
        <w:t>.</w:t>
      </w:r>
    </w:p>
    <w:p w14:paraId="7FF494AE" w14:textId="77777777" w:rsidR="00F7016D" w:rsidRDefault="00F7016D" w:rsidP="00F7016D">
      <w:pPr>
        <w:pStyle w:val="P00"/>
        <w:spacing w:before="72"/>
        <w:ind w:left="0" w:right="1134"/>
        <w:rPr>
          <w:rStyle w:val="default"/>
          <w:rFonts w:cs="FrankRuehl"/>
          <w:rtl/>
        </w:rPr>
      </w:pPr>
      <w:r w:rsidRPr="00F7016D">
        <w:rPr>
          <w:rStyle w:val="default"/>
          <w:rFonts w:cs="FrankRuehl" w:hint="cs"/>
          <w:rtl/>
        </w:rPr>
        <w:pict w14:anchorId="304F882B">
          <v:shape id="_x0000_s1124" type="#_x0000_t202" style="position:absolute;left:0;text-align:left;margin-left:470.25pt;margin-top:7.1pt;width:1in;height:19.85pt;z-index:251670016" filled="f" stroked="f">
            <v:textbox inset="1mm,0,1mm,0">
              <w:txbxContent>
                <w:p w14:paraId="6551E506" w14:textId="77777777" w:rsidR="00F7016D" w:rsidRDefault="00F7016D" w:rsidP="00F7016D">
                  <w:pPr>
                    <w:spacing w:line="160" w:lineRule="exact"/>
                    <w:jc w:val="left"/>
                    <w:rPr>
                      <w:rFonts w:cs="Miriam" w:hint="cs"/>
                      <w:noProof/>
                      <w:szCs w:val="18"/>
                      <w:rtl/>
                    </w:rPr>
                  </w:pPr>
                  <w:r>
                    <w:rPr>
                      <w:rFonts w:cs="Miriam" w:hint="cs"/>
                      <w:szCs w:val="18"/>
                      <w:rtl/>
                    </w:rPr>
                    <w:t xml:space="preserve">תק' </w:t>
                  </w:r>
                  <w:r w:rsidR="00121433">
                    <w:rPr>
                      <w:rFonts w:cs="Miriam" w:hint="cs"/>
                      <w:szCs w:val="18"/>
                      <w:rtl/>
                    </w:rPr>
                    <w:t xml:space="preserve">(מס' 2) </w:t>
                  </w:r>
                  <w:r>
                    <w:rPr>
                      <w:rFonts w:cs="Miriam" w:hint="cs"/>
                      <w:szCs w:val="18"/>
                      <w:rtl/>
                    </w:rPr>
                    <w:t>תשע"ט-2019</w:t>
                  </w:r>
                </w:p>
              </w:txbxContent>
            </v:textbox>
          </v:shape>
        </w:pict>
      </w:r>
      <w:r w:rsidRPr="00F7016D">
        <w:rPr>
          <w:rStyle w:val="default"/>
          <w:rFonts w:cs="FrankRuehl" w:hint="cs"/>
          <w:rtl/>
        </w:rPr>
        <w:tab/>
        <w:t>(</w:t>
      </w:r>
      <w:r w:rsidR="00121433">
        <w:rPr>
          <w:rStyle w:val="default"/>
          <w:rFonts w:cs="FrankRuehl" w:hint="cs"/>
          <w:rtl/>
        </w:rPr>
        <w:t>ה</w:t>
      </w:r>
      <w:r>
        <w:rPr>
          <w:rStyle w:val="default"/>
          <w:rFonts w:cs="FrankRuehl" w:hint="cs"/>
          <w:rtl/>
        </w:rPr>
        <w:t>)</w:t>
      </w:r>
      <w:r>
        <w:rPr>
          <w:rStyle w:val="default"/>
          <w:rFonts w:cs="FrankRuehl"/>
          <w:rtl/>
        </w:rPr>
        <w:tab/>
      </w:r>
      <w:r>
        <w:rPr>
          <w:rStyle w:val="default"/>
          <w:rFonts w:cs="FrankRuehl" w:hint="cs"/>
          <w:rtl/>
        </w:rPr>
        <w:t xml:space="preserve">לעניין משרות ותפקידים </w:t>
      </w:r>
      <w:r w:rsidR="00121433">
        <w:rPr>
          <w:rStyle w:val="default"/>
          <w:rFonts w:cs="FrankRuehl" w:hint="cs"/>
          <w:rtl/>
        </w:rPr>
        <w:t>בוועדת הבחירות המרכזית לכנסת, ייתן ראש האגף, על דעת הגורם המופקד על הנושא בוועדת הבחירות המרכזית לכנסת, הנחיות כלליות לעניין סיווג ביטחוני של תפקידים או משרות והגורם המופקד על הנושא בוועדת הבחירות המרכזית לכנסת כאמור, ייתן, כפי שיראה לנכון, הוראות משלימות ומפורטות לביצוע הסיווג של התפקידים והמשרות שבתחום אחריותו</w:t>
      </w:r>
      <w:r w:rsidRPr="00F7016D">
        <w:rPr>
          <w:rStyle w:val="default"/>
          <w:rFonts w:cs="FrankRuehl" w:hint="cs"/>
          <w:rtl/>
        </w:rPr>
        <w:t>.</w:t>
      </w:r>
    </w:p>
    <w:p w14:paraId="64F8DCCE" w14:textId="77777777" w:rsidR="00F7016D" w:rsidRPr="00EE4FAF" w:rsidRDefault="00F7016D" w:rsidP="00F7016D">
      <w:pPr>
        <w:pStyle w:val="P00"/>
        <w:spacing w:before="0"/>
        <w:ind w:left="0" w:right="1134"/>
        <w:rPr>
          <w:rStyle w:val="default"/>
          <w:rFonts w:cs="FrankRuehl"/>
          <w:vanish/>
          <w:color w:val="FF0000"/>
          <w:szCs w:val="20"/>
          <w:shd w:val="clear" w:color="auto" w:fill="FFFF99"/>
          <w:rtl/>
        </w:rPr>
      </w:pPr>
      <w:bookmarkStart w:id="3" w:name="Rov27"/>
      <w:r w:rsidRPr="00EE4FAF">
        <w:rPr>
          <w:rStyle w:val="default"/>
          <w:rFonts w:cs="FrankRuehl" w:hint="cs"/>
          <w:vanish/>
          <w:color w:val="FF0000"/>
          <w:szCs w:val="20"/>
          <w:shd w:val="clear" w:color="auto" w:fill="FFFF99"/>
          <w:rtl/>
        </w:rPr>
        <w:t>מיום 5.2.2019</w:t>
      </w:r>
    </w:p>
    <w:p w14:paraId="3A3BC5F2" w14:textId="77777777" w:rsidR="00F7016D" w:rsidRPr="00EE4FAF" w:rsidRDefault="00F7016D" w:rsidP="00F7016D">
      <w:pPr>
        <w:pStyle w:val="P00"/>
        <w:spacing w:before="0"/>
        <w:ind w:left="0" w:right="1134"/>
        <w:rPr>
          <w:rStyle w:val="default"/>
          <w:rFonts w:cs="FrankRuehl"/>
          <w:vanish/>
          <w:szCs w:val="20"/>
          <w:shd w:val="clear" w:color="auto" w:fill="FFFF99"/>
          <w:rtl/>
        </w:rPr>
      </w:pPr>
      <w:r w:rsidRPr="00EE4FAF">
        <w:rPr>
          <w:rStyle w:val="default"/>
          <w:rFonts w:cs="FrankRuehl" w:hint="cs"/>
          <w:b/>
          <w:bCs/>
          <w:vanish/>
          <w:szCs w:val="20"/>
          <w:shd w:val="clear" w:color="auto" w:fill="FFFF99"/>
          <w:rtl/>
        </w:rPr>
        <w:t>תק' תשע"ט-2019</w:t>
      </w:r>
    </w:p>
    <w:p w14:paraId="2225991A" w14:textId="77777777" w:rsidR="00F7016D" w:rsidRPr="00EE4FAF" w:rsidRDefault="00F7016D" w:rsidP="00F7016D">
      <w:pPr>
        <w:pStyle w:val="P00"/>
        <w:spacing w:before="0"/>
        <w:ind w:left="0" w:right="1134"/>
        <w:rPr>
          <w:rStyle w:val="default"/>
          <w:rFonts w:cs="FrankRuehl"/>
          <w:vanish/>
          <w:szCs w:val="20"/>
          <w:shd w:val="clear" w:color="auto" w:fill="FFFF99"/>
          <w:rtl/>
        </w:rPr>
      </w:pPr>
      <w:hyperlink r:id="rId6" w:history="1">
        <w:r w:rsidRPr="00EE4FAF">
          <w:rPr>
            <w:rStyle w:val="Hyperlink"/>
            <w:rFonts w:hint="cs"/>
            <w:vanish/>
            <w:szCs w:val="20"/>
            <w:shd w:val="clear" w:color="auto" w:fill="FFFF99"/>
            <w:rtl/>
          </w:rPr>
          <w:t>ק"ת תשע"ט מס' 8164</w:t>
        </w:r>
      </w:hyperlink>
      <w:r w:rsidRPr="00EE4FAF">
        <w:rPr>
          <w:rStyle w:val="default"/>
          <w:rFonts w:cs="FrankRuehl" w:hint="cs"/>
          <w:vanish/>
          <w:szCs w:val="20"/>
          <w:shd w:val="clear" w:color="auto" w:fill="FFFF99"/>
          <w:rtl/>
        </w:rPr>
        <w:t xml:space="preserve"> מיום 5.2.2019 עמ' 2090</w:t>
      </w:r>
    </w:p>
    <w:p w14:paraId="176F392A" w14:textId="77777777" w:rsidR="00F7016D" w:rsidRPr="00EE4FAF" w:rsidRDefault="00F7016D" w:rsidP="00F7016D">
      <w:pPr>
        <w:pStyle w:val="P00"/>
        <w:spacing w:before="0"/>
        <w:ind w:left="0" w:right="1134"/>
        <w:rPr>
          <w:rStyle w:val="default"/>
          <w:rFonts w:cs="FrankRuehl"/>
          <w:vanish/>
          <w:szCs w:val="20"/>
          <w:shd w:val="clear" w:color="auto" w:fill="FFFF99"/>
          <w:rtl/>
        </w:rPr>
      </w:pPr>
      <w:r w:rsidRPr="00EE4FAF">
        <w:rPr>
          <w:rStyle w:val="default"/>
          <w:rFonts w:cs="FrankRuehl" w:hint="cs"/>
          <w:b/>
          <w:bCs/>
          <w:vanish/>
          <w:szCs w:val="20"/>
          <w:shd w:val="clear" w:color="auto" w:fill="FFFF99"/>
          <w:rtl/>
        </w:rPr>
        <w:t>הוספת תקנת משנה 3(ד)</w:t>
      </w:r>
    </w:p>
    <w:p w14:paraId="20F0B502" w14:textId="77777777" w:rsidR="00121433" w:rsidRPr="00EE4FAF" w:rsidRDefault="00121433" w:rsidP="00F7016D">
      <w:pPr>
        <w:pStyle w:val="P00"/>
        <w:spacing w:before="0"/>
        <w:ind w:left="0" w:right="1134"/>
        <w:rPr>
          <w:rStyle w:val="default"/>
          <w:rFonts w:cs="FrankRuehl"/>
          <w:vanish/>
          <w:szCs w:val="20"/>
          <w:shd w:val="clear" w:color="auto" w:fill="FFFF99"/>
          <w:rtl/>
        </w:rPr>
      </w:pPr>
    </w:p>
    <w:p w14:paraId="4D5CE2C5" w14:textId="77777777" w:rsidR="00121433" w:rsidRPr="00EE4FAF" w:rsidRDefault="00121433" w:rsidP="00F7016D">
      <w:pPr>
        <w:pStyle w:val="P00"/>
        <w:spacing w:before="0"/>
        <w:ind w:left="0" w:right="1134"/>
        <w:rPr>
          <w:rStyle w:val="default"/>
          <w:rFonts w:cs="FrankRuehl"/>
          <w:vanish/>
          <w:color w:val="FF0000"/>
          <w:szCs w:val="20"/>
          <w:shd w:val="clear" w:color="auto" w:fill="FFFF99"/>
          <w:rtl/>
        </w:rPr>
      </w:pPr>
      <w:r w:rsidRPr="00EE4FAF">
        <w:rPr>
          <w:rStyle w:val="default"/>
          <w:rFonts w:cs="FrankRuehl" w:hint="cs"/>
          <w:vanish/>
          <w:color w:val="FF0000"/>
          <w:szCs w:val="20"/>
          <w:shd w:val="clear" w:color="auto" w:fill="FFFF99"/>
          <w:rtl/>
        </w:rPr>
        <w:t>מיום 18.2.2019</w:t>
      </w:r>
    </w:p>
    <w:p w14:paraId="7F747F9F" w14:textId="77777777" w:rsidR="00121433" w:rsidRPr="00EE4FAF" w:rsidRDefault="00121433" w:rsidP="00F7016D">
      <w:pPr>
        <w:pStyle w:val="P00"/>
        <w:spacing w:before="0"/>
        <w:ind w:left="0" w:right="1134"/>
        <w:rPr>
          <w:rStyle w:val="default"/>
          <w:rFonts w:cs="FrankRuehl"/>
          <w:b/>
          <w:vanish/>
          <w:szCs w:val="20"/>
          <w:shd w:val="clear" w:color="auto" w:fill="FFFF99"/>
          <w:rtl/>
        </w:rPr>
      </w:pPr>
      <w:r w:rsidRPr="00EE4FAF">
        <w:rPr>
          <w:rStyle w:val="default"/>
          <w:rFonts w:cs="FrankRuehl" w:hint="cs"/>
          <w:b/>
          <w:bCs/>
          <w:vanish/>
          <w:szCs w:val="20"/>
          <w:shd w:val="clear" w:color="auto" w:fill="FFFF99"/>
          <w:rtl/>
        </w:rPr>
        <w:t>תק' (מס' 2) תשע"ט-2019</w:t>
      </w:r>
    </w:p>
    <w:p w14:paraId="3350F1B8" w14:textId="77777777" w:rsidR="00121433" w:rsidRPr="00EE4FAF" w:rsidRDefault="00121433" w:rsidP="00F7016D">
      <w:pPr>
        <w:pStyle w:val="P00"/>
        <w:spacing w:before="0"/>
        <w:ind w:left="0" w:right="1134"/>
        <w:rPr>
          <w:rStyle w:val="default"/>
          <w:rFonts w:cs="FrankRuehl"/>
          <w:b/>
          <w:vanish/>
          <w:szCs w:val="20"/>
          <w:shd w:val="clear" w:color="auto" w:fill="FFFF99"/>
          <w:rtl/>
        </w:rPr>
      </w:pPr>
      <w:hyperlink r:id="rId7" w:history="1">
        <w:r w:rsidRPr="00EE4FAF">
          <w:rPr>
            <w:rStyle w:val="Hyperlink"/>
            <w:rFonts w:hint="cs"/>
            <w:b/>
            <w:vanish/>
            <w:szCs w:val="20"/>
            <w:shd w:val="clear" w:color="auto" w:fill="FFFF99"/>
            <w:rtl/>
          </w:rPr>
          <w:t>ק"ת תשע"ט מס' 8175</w:t>
        </w:r>
      </w:hyperlink>
      <w:r w:rsidRPr="00EE4FAF">
        <w:rPr>
          <w:rStyle w:val="default"/>
          <w:rFonts w:cs="FrankRuehl" w:hint="cs"/>
          <w:b/>
          <w:vanish/>
          <w:szCs w:val="20"/>
          <w:shd w:val="clear" w:color="auto" w:fill="FFFF99"/>
          <w:rtl/>
        </w:rPr>
        <w:t xml:space="preserve"> מיום 18.2.2019 עמ' 2294</w:t>
      </w:r>
    </w:p>
    <w:p w14:paraId="4355FC88" w14:textId="77777777" w:rsidR="00121433" w:rsidRPr="00121433" w:rsidRDefault="00121433" w:rsidP="00121433">
      <w:pPr>
        <w:pStyle w:val="P00"/>
        <w:spacing w:before="0"/>
        <w:ind w:left="0" w:right="1134"/>
        <w:rPr>
          <w:rStyle w:val="default"/>
          <w:rFonts w:cs="FrankRuehl"/>
          <w:b/>
          <w:sz w:val="2"/>
          <w:szCs w:val="2"/>
          <w:shd w:val="clear" w:color="auto" w:fill="FFFF99"/>
          <w:rtl/>
        </w:rPr>
      </w:pPr>
      <w:r w:rsidRPr="00EE4FAF">
        <w:rPr>
          <w:rStyle w:val="default"/>
          <w:rFonts w:cs="FrankRuehl" w:hint="cs"/>
          <w:bCs/>
          <w:vanish/>
          <w:szCs w:val="20"/>
          <w:shd w:val="clear" w:color="auto" w:fill="FFFF99"/>
          <w:rtl/>
        </w:rPr>
        <w:t>הוספת תקנת משנה (ה)</w:t>
      </w:r>
      <w:bookmarkEnd w:id="3"/>
    </w:p>
    <w:p w14:paraId="54C5BB55" w14:textId="77777777" w:rsidR="00207778" w:rsidRDefault="00207778">
      <w:pPr>
        <w:pStyle w:val="P00"/>
        <w:spacing w:before="72"/>
        <w:ind w:left="0" w:right="1134"/>
        <w:rPr>
          <w:rStyle w:val="default"/>
          <w:rFonts w:cs="FrankRuehl" w:hint="cs"/>
          <w:rtl/>
        </w:rPr>
      </w:pPr>
      <w:bookmarkStart w:id="4" w:name="Seif3"/>
      <w:bookmarkEnd w:id="4"/>
      <w:r>
        <w:rPr>
          <w:rFonts w:cs="Miriam"/>
          <w:szCs w:val="32"/>
          <w:rtl/>
          <w:lang w:val="he-IL"/>
        </w:rPr>
        <w:pict w14:anchorId="7627B3FB">
          <v:shape id="_x0000_s1100" type="#_x0000_t202" style="position:absolute;left:0;text-align:left;margin-left:470.25pt;margin-top:7.1pt;width:1in;height:25.4pt;z-index:251646464" filled="f" stroked="f">
            <v:textbox style="mso-next-textbox:#_x0000_s1100" inset="1mm,0,1mm,0">
              <w:txbxContent>
                <w:p w14:paraId="596B4D28" w14:textId="77777777" w:rsidR="00207778" w:rsidRDefault="00207778">
                  <w:pPr>
                    <w:pStyle w:val="3"/>
                    <w:rPr>
                      <w:rtl/>
                    </w:rPr>
                  </w:pPr>
                  <w:r>
                    <w:rPr>
                      <w:rFonts w:hint="cs"/>
                      <w:rtl/>
                    </w:rPr>
                    <w:t>ביצוע הסיווג</w:t>
                  </w:r>
                </w:p>
                <w:p w14:paraId="047BE827" w14:textId="77777777" w:rsidR="00EE4FAF" w:rsidRDefault="00EE4FAF" w:rsidP="00EE4FAF">
                  <w:pPr>
                    <w:spacing w:line="160" w:lineRule="exact"/>
                    <w:jc w:val="left"/>
                    <w:rPr>
                      <w:rFonts w:cs="Miriam" w:hint="cs"/>
                      <w:noProof/>
                      <w:szCs w:val="18"/>
                      <w:rtl/>
                    </w:rPr>
                  </w:pPr>
                  <w:r>
                    <w:rPr>
                      <w:rFonts w:cs="Miriam" w:hint="cs"/>
                      <w:szCs w:val="18"/>
                      <w:rtl/>
                    </w:rPr>
                    <w:t>תק' (מס' 2) תשע"ט-2019</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 xml:space="preserve">ממונה ביטחון, הגורם המופקד על הנושא ברשות ביטחון, מנהל גוף שקיבל הודעה כאמור בתקנה 3 או מי שהוא הסמיך לכך, </w:t>
      </w:r>
      <w:r w:rsidR="00EE4FAF" w:rsidRPr="00EE4FAF">
        <w:rPr>
          <w:rStyle w:val="default"/>
          <w:rFonts w:cs="FrankRuehl" w:hint="cs"/>
          <w:rtl/>
        </w:rPr>
        <w:t>הגורם המופקד על הנושא בכנסת או הגורם המופקד על הנושא בוועדת הבחירות המרכזית לכנסת, לפי העניין</w:t>
      </w:r>
      <w:r>
        <w:rPr>
          <w:rStyle w:val="default"/>
          <w:rFonts w:cs="FrankRuehl" w:hint="cs"/>
          <w:rtl/>
        </w:rPr>
        <w:t>, יבצע סיווג של המשרות והתפקידים בגוף שעליו הוא מופקד, כפי שיהיו מזמן לזמן, בהתאם להנחיות המקצועיות שקיבל.</w:t>
      </w:r>
    </w:p>
    <w:p w14:paraId="40B0821F" w14:textId="77777777" w:rsidR="00207778" w:rsidRDefault="00EE4FAF" w:rsidP="00EE4FAF">
      <w:pPr>
        <w:pStyle w:val="P00"/>
        <w:spacing w:before="72"/>
        <w:ind w:left="0" w:right="1134"/>
        <w:rPr>
          <w:rStyle w:val="default"/>
          <w:rFonts w:cs="FrankRuehl" w:hint="cs"/>
          <w:rtl/>
        </w:rPr>
      </w:pPr>
      <w:r w:rsidRPr="00F7016D">
        <w:rPr>
          <w:rStyle w:val="default"/>
          <w:rFonts w:cs="FrankRuehl" w:hint="cs"/>
          <w:rtl/>
        </w:rPr>
        <w:pict w14:anchorId="6C30A6A2">
          <v:shape id="_x0000_s1127" type="#_x0000_t202" style="position:absolute;left:0;text-align:left;margin-left:470.25pt;margin-top:7.1pt;width:1in;height:19.85pt;z-index:251672064" filled="f" stroked="f">
            <v:textbox inset="1mm,0,1mm,0">
              <w:txbxContent>
                <w:p w14:paraId="491DD23A" w14:textId="77777777" w:rsidR="00EE4FAF" w:rsidRDefault="00EE4FAF" w:rsidP="00EE4FAF">
                  <w:pPr>
                    <w:spacing w:line="160" w:lineRule="exact"/>
                    <w:jc w:val="left"/>
                    <w:rPr>
                      <w:rFonts w:cs="Miriam" w:hint="cs"/>
                      <w:noProof/>
                      <w:szCs w:val="18"/>
                      <w:rtl/>
                    </w:rPr>
                  </w:pPr>
                  <w:r>
                    <w:rPr>
                      <w:rFonts w:cs="Miriam" w:hint="cs"/>
                      <w:szCs w:val="18"/>
                      <w:rtl/>
                    </w:rPr>
                    <w:t>תק' (מס' 2) תשע"ט-2019</w:t>
                  </w:r>
                </w:p>
              </w:txbxContent>
            </v:textbox>
          </v:shape>
        </w:pict>
      </w:r>
      <w:r w:rsidRPr="00F7016D">
        <w:rPr>
          <w:rStyle w:val="default"/>
          <w:rFonts w:cs="FrankRuehl" w:hint="cs"/>
          <w:rtl/>
        </w:rPr>
        <w:tab/>
        <w:t>(</w:t>
      </w:r>
      <w:r w:rsidR="00207778">
        <w:rPr>
          <w:rStyle w:val="default"/>
          <w:rFonts w:cs="FrankRuehl" w:hint="cs"/>
          <w:rtl/>
        </w:rPr>
        <w:t>ב)</w:t>
      </w:r>
      <w:r w:rsidR="00207778">
        <w:rPr>
          <w:rStyle w:val="default"/>
          <w:rFonts w:cs="FrankRuehl" w:hint="cs"/>
          <w:rtl/>
        </w:rPr>
        <w:tab/>
        <w:t xml:space="preserve">ממונה ביטחון, הגורם המופקד על הנושא ברשות ביטחון, מנהל גוף אשר קיבל הודעה לפי תקנה 3 או מי שהוא הסמיך לכך, </w:t>
      </w:r>
      <w:r w:rsidRPr="00EE4FAF">
        <w:rPr>
          <w:rStyle w:val="default"/>
          <w:rFonts w:cs="FrankRuehl" w:hint="cs"/>
          <w:rtl/>
        </w:rPr>
        <w:t>הגורם המופקד על הנושא בכנסת או הגורם המופקד על הנושא בוועדת הבחירות המרכזית לכנסת, לפי העניין</w:t>
      </w:r>
      <w:r w:rsidR="00207778">
        <w:rPr>
          <w:rStyle w:val="default"/>
          <w:rFonts w:cs="FrankRuehl" w:hint="cs"/>
          <w:rtl/>
        </w:rPr>
        <w:t>, יחזיק ברשותו רשימה של המשרות והתפקידים המסווגים, ויפרט את הסיווג הביטחוני שנקבע להם; הרשימה תכלול פרטים אלה:</w:t>
      </w:r>
    </w:p>
    <w:p w14:paraId="4E7CBBB9" w14:textId="77777777" w:rsidR="00207778" w:rsidRDefault="002077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המשרה או התפקיד;</w:t>
      </w:r>
    </w:p>
    <w:p w14:paraId="223A8798" w14:textId="77777777" w:rsidR="00207778" w:rsidRDefault="002077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תיאור המשרה או התפקיד;</w:t>
      </w:r>
    </w:p>
    <w:p w14:paraId="3A708E76" w14:textId="77777777" w:rsidR="00207778" w:rsidRDefault="0020777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הסיווג שנקבע למשרה או לתפקיד;</w:t>
      </w:r>
    </w:p>
    <w:p w14:paraId="0B162035" w14:textId="77777777" w:rsidR="00207778" w:rsidRDefault="0020777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פרטיו האישיים של נושא המשרה או התפקיד;</w:t>
      </w:r>
    </w:p>
    <w:p w14:paraId="6ADE54D6" w14:textId="77777777" w:rsidR="00207778" w:rsidRDefault="00207778">
      <w:pPr>
        <w:pStyle w:val="P00"/>
        <w:spacing w:before="72"/>
        <w:ind w:left="1021" w:right="1134"/>
        <w:rPr>
          <w:rStyle w:val="default"/>
          <w:rFonts w:cs="FrankRuehl"/>
          <w:rtl/>
        </w:rPr>
      </w:pPr>
      <w:r>
        <w:rPr>
          <w:rStyle w:val="default"/>
          <w:rFonts w:cs="FrankRuehl" w:hint="cs"/>
          <w:rtl/>
        </w:rPr>
        <w:t>(5)</w:t>
      </w:r>
      <w:r>
        <w:rPr>
          <w:rStyle w:val="default"/>
          <w:rFonts w:cs="FrankRuehl" w:hint="cs"/>
          <w:rtl/>
        </w:rPr>
        <w:tab/>
        <w:t>ההתאמה הביטחונית שנקבעה לנושא המשרה או התפקיד.</w:t>
      </w:r>
    </w:p>
    <w:p w14:paraId="6E698FCC" w14:textId="77777777" w:rsidR="00121433" w:rsidRPr="00EE4FAF" w:rsidRDefault="00121433" w:rsidP="00121433">
      <w:pPr>
        <w:pStyle w:val="P00"/>
        <w:spacing w:before="0"/>
        <w:ind w:left="0" w:right="1134"/>
        <w:rPr>
          <w:rStyle w:val="default"/>
          <w:rFonts w:cs="FrankRuehl"/>
          <w:vanish/>
          <w:color w:val="FF0000"/>
          <w:szCs w:val="20"/>
          <w:shd w:val="clear" w:color="auto" w:fill="FFFF99"/>
          <w:rtl/>
        </w:rPr>
      </w:pPr>
      <w:bookmarkStart w:id="5" w:name="Rov28"/>
      <w:r w:rsidRPr="00EE4FAF">
        <w:rPr>
          <w:rStyle w:val="default"/>
          <w:rFonts w:cs="FrankRuehl" w:hint="cs"/>
          <w:vanish/>
          <w:color w:val="FF0000"/>
          <w:szCs w:val="20"/>
          <w:shd w:val="clear" w:color="auto" w:fill="FFFF99"/>
          <w:rtl/>
        </w:rPr>
        <w:t>מיום 18.2.2019</w:t>
      </w:r>
    </w:p>
    <w:p w14:paraId="62BE8144" w14:textId="77777777" w:rsidR="00121433" w:rsidRPr="00EE4FAF" w:rsidRDefault="00121433" w:rsidP="00121433">
      <w:pPr>
        <w:pStyle w:val="P00"/>
        <w:spacing w:before="0"/>
        <w:ind w:left="0" w:right="1134"/>
        <w:rPr>
          <w:rStyle w:val="default"/>
          <w:rFonts w:cs="FrankRuehl"/>
          <w:b/>
          <w:vanish/>
          <w:szCs w:val="20"/>
          <w:shd w:val="clear" w:color="auto" w:fill="FFFF99"/>
          <w:rtl/>
        </w:rPr>
      </w:pPr>
      <w:r w:rsidRPr="00EE4FAF">
        <w:rPr>
          <w:rStyle w:val="default"/>
          <w:rFonts w:cs="FrankRuehl" w:hint="cs"/>
          <w:b/>
          <w:bCs/>
          <w:vanish/>
          <w:szCs w:val="20"/>
          <w:shd w:val="clear" w:color="auto" w:fill="FFFF99"/>
          <w:rtl/>
        </w:rPr>
        <w:t>תק' (מס' 2) תשע"ט-2019</w:t>
      </w:r>
    </w:p>
    <w:p w14:paraId="4171E6CB" w14:textId="77777777" w:rsidR="00121433" w:rsidRPr="00EE4FAF" w:rsidRDefault="00121433" w:rsidP="00121433">
      <w:pPr>
        <w:pStyle w:val="P00"/>
        <w:spacing w:before="0"/>
        <w:ind w:left="0" w:right="1134"/>
        <w:rPr>
          <w:rStyle w:val="default"/>
          <w:rFonts w:cs="FrankRuehl"/>
          <w:b/>
          <w:vanish/>
          <w:szCs w:val="20"/>
          <w:shd w:val="clear" w:color="auto" w:fill="FFFF99"/>
          <w:rtl/>
        </w:rPr>
      </w:pPr>
      <w:hyperlink r:id="rId8" w:history="1">
        <w:r w:rsidRPr="00EE4FAF">
          <w:rPr>
            <w:rStyle w:val="Hyperlink"/>
            <w:rFonts w:hint="cs"/>
            <w:b/>
            <w:vanish/>
            <w:szCs w:val="20"/>
            <w:shd w:val="clear" w:color="auto" w:fill="FFFF99"/>
            <w:rtl/>
          </w:rPr>
          <w:t>ק"ת תשע"ט מס' 8175</w:t>
        </w:r>
      </w:hyperlink>
      <w:r w:rsidRPr="00EE4FAF">
        <w:rPr>
          <w:rStyle w:val="default"/>
          <w:rFonts w:cs="FrankRuehl" w:hint="cs"/>
          <w:b/>
          <w:vanish/>
          <w:szCs w:val="20"/>
          <w:shd w:val="clear" w:color="auto" w:fill="FFFF99"/>
          <w:rtl/>
        </w:rPr>
        <w:t xml:space="preserve"> מיום 18.2.2019 עמ' 2294</w:t>
      </w:r>
    </w:p>
    <w:p w14:paraId="49AFD276" w14:textId="77777777" w:rsidR="00121433" w:rsidRPr="00EE4FAF" w:rsidRDefault="00121433" w:rsidP="00EE4FAF">
      <w:pPr>
        <w:pStyle w:val="P00"/>
        <w:ind w:left="0" w:right="1134"/>
        <w:rPr>
          <w:rStyle w:val="default"/>
          <w:rFonts w:cs="FrankRuehl" w:hint="cs"/>
          <w:vanish/>
          <w:sz w:val="16"/>
          <w:szCs w:val="22"/>
          <w:shd w:val="clear" w:color="auto" w:fill="FFFF99"/>
          <w:rtl/>
        </w:rPr>
      </w:pPr>
      <w:r w:rsidRPr="00EE4FAF">
        <w:rPr>
          <w:rStyle w:val="default"/>
          <w:rFonts w:cs="FrankRuehl" w:hint="cs"/>
          <w:vanish/>
          <w:sz w:val="16"/>
          <w:szCs w:val="22"/>
          <w:shd w:val="clear" w:color="auto" w:fill="FFFF99"/>
          <w:rtl/>
        </w:rPr>
        <w:tab/>
        <w:t>(א)</w:t>
      </w:r>
      <w:r w:rsidRPr="00EE4FAF">
        <w:rPr>
          <w:rStyle w:val="default"/>
          <w:rFonts w:cs="FrankRuehl" w:hint="cs"/>
          <w:vanish/>
          <w:sz w:val="16"/>
          <w:szCs w:val="22"/>
          <w:shd w:val="clear" w:color="auto" w:fill="FFFF99"/>
          <w:rtl/>
        </w:rPr>
        <w:tab/>
        <w:t xml:space="preserve">ממונה ביטחון, הגורם המופקד על הנושא ברשות ביטחון, מנהל גוף שקיבל הודעה כאמור בתקנה 3 או מי שהוא הסמיך לכך, </w:t>
      </w:r>
      <w:r w:rsidRPr="00EE4FAF">
        <w:rPr>
          <w:rStyle w:val="default"/>
          <w:rFonts w:cs="FrankRuehl" w:hint="cs"/>
          <w:strike/>
          <w:vanish/>
          <w:sz w:val="16"/>
          <w:szCs w:val="22"/>
          <w:shd w:val="clear" w:color="auto" w:fill="FFFF99"/>
          <w:rtl/>
        </w:rPr>
        <w:t>או הגורם המופקד על הנושא בכנסת</w:t>
      </w:r>
      <w:r w:rsidR="00EE4FAF" w:rsidRPr="00EE4FAF">
        <w:rPr>
          <w:rStyle w:val="default"/>
          <w:rFonts w:cs="FrankRuehl" w:hint="cs"/>
          <w:vanish/>
          <w:sz w:val="16"/>
          <w:szCs w:val="22"/>
          <w:shd w:val="clear" w:color="auto" w:fill="FFFF99"/>
          <w:rtl/>
        </w:rPr>
        <w:t xml:space="preserve"> </w:t>
      </w:r>
      <w:r w:rsidR="00EE4FAF" w:rsidRPr="00EE4FAF">
        <w:rPr>
          <w:rStyle w:val="default"/>
          <w:rFonts w:cs="FrankRuehl" w:hint="cs"/>
          <w:vanish/>
          <w:sz w:val="16"/>
          <w:szCs w:val="22"/>
          <w:u w:val="single"/>
          <w:shd w:val="clear" w:color="auto" w:fill="FFFF99"/>
          <w:rtl/>
        </w:rPr>
        <w:t>הגורם המופקד על הנושא בכנסת או הגורם המופקד על הנושא בוועדת הבחירות המרכזית לכנסת, לפי העניין</w:t>
      </w:r>
      <w:r w:rsidRPr="00EE4FAF">
        <w:rPr>
          <w:rStyle w:val="default"/>
          <w:rFonts w:cs="FrankRuehl" w:hint="cs"/>
          <w:vanish/>
          <w:sz w:val="16"/>
          <w:szCs w:val="22"/>
          <w:shd w:val="clear" w:color="auto" w:fill="FFFF99"/>
          <w:rtl/>
        </w:rPr>
        <w:t>, יבצע סיווג של המשרות והתפקידים בגוף שעליו הוא מופקד, כפי שיהיו מזמן לזמן, בהתאם להנחיות המקצועיות שקיבל.</w:t>
      </w:r>
    </w:p>
    <w:p w14:paraId="7929D51A" w14:textId="77777777" w:rsidR="00121433" w:rsidRPr="00EE4FAF" w:rsidRDefault="00121433" w:rsidP="00EE4FAF">
      <w:pPr>
        <w:pStyle w:val="P00"/>
        <w:spacing w:before="0"/>
        <w:ind w:left="0" w:right="1134"/>
        <w:rPr>
          <w:rStyle w:val="default"/>
          <w:rFonts w:cs="FrankRuehl" w:hint="cs"/>
          <w:sz w:val="2"/>
          <w:szCs w:val="2"/>
          <w:rtl/>
        </w:rPr>
      </w:pPr>
      <w:r w:rsidRPr="00EE4FAF">
        <w:rPr>
          <w:rStyle w:val="default"/>
          <w:rFonts w:cs="FrankRuehl" w:hint="cs"/>
          <w:vanish/>
          <w:sz w:val="16"/>
          <w:szCs w:val="22"/>
          <w:shd w:val="clear" w:color="auto" w:fill="FFFF99"/>
          <w:rtl/>
        </w:rPr>
        <w:tab/>
        <w:t>(ב)</w:t>
      </w:r>
      <w:r w:rsidRPr="00EE4FAF">
        <w:rPr>
          <w:rStyle w:val="default"/>
          <w:rFonts w:cs="FrankRuehl" w:hint="cs"/>
          <w:vanish/>
          <w:sz w:val="16"/>
          <w:szCs w:val="22"/>
          <w:shd w:val="clear" w:color="auto" w:fill="FFFF99"/>
          <w:rtl/>
        </w:rPr>
        <w:tab/>
        <w:t xml:space="preserve">ממונה ביטחון, הגורם המופקד על הנושא ברשות ביטחון, מנהל גוף אשר קיבל הודעה לפי תקנה 3 או מי שהוא הסמיך לכך, </w:t>
      </w:r>
      <w:r w:rsidRPr="00EE4FAF">
        <w:rPr>
          <w:rStyle w:val="default"/>
          <w:rFonts w:cs="FrankRuehl" w:hint="cs"/>
          <w:strike/>
          <w:vanish/>
          <w:sz w:val="16"/>
          <w:szCs w:val="22"/>
          <w:shd w:val="clear" w:color="auto" w:fill="FFFF99"/>
          <w:rtl/>
        </w:rPr>
        <w:t>או הגורם המופקד על הנושא בכנסת</w:t>
      </w:r>
      <w:r w:rsidR="00EE4FAF" w:rsidRPr="00EE4FAF">
        <w:rPr>
          <w:rStyle w:val="default"/>
          <w:rFonts w:cs="FrankRuehl" w:hint="cs"/>
          <w:vanish/>
          <w:sz w:val="16"/>
          <w:szCs w:val="22"/>
          <w:shd w:val="clear" w:color="auto" w:fill="FFFF99"/>
          <w:rtl/>
        </w:rPr>
        <w:t xml:space="preserve"> </w:t>
      </w:r>
      <w:r w:rsidR="00EE4FAF" w:rsidRPr="00EE4FAF">
        <w:rPr>
          <w:rStyle w:val="default"/>
          <w:rFonts w:cs="FrankRuehl" w:hint="cs"/>
          <w:vanish/>
          <w:sz w:val="16"/>
          <w:szCs w:val="22"/>
          <w:u w:val="single"/>
          <w:shd w:val="clear" w:color="auto" w:fill="FFFF99"/>
          <w:rtl/>
        </w:rPr>
        <w:t>הגורם המופקד על הנושא בכנסת או הגורם המופקד על הנושא בוועדת הבחירות המרכזית לכנסת, לפי העניין</w:t>
      </w:r>
      <w:r w:rsidRPr="00EE4FAF">
        <w:rPr>
          <w:rStyle w:val="default"/>
          <w:rFonts w:cs="FrankRuehl" w:hint="cs"/>
          <w:vanish/>
          <w:sz w:val="16"/>
          <w:szCs w:val="22"/>
          <w:shd w:val="clear" w:color="auto" w:fill="FFFF99"/>
          <w:rtl/>
        </w:rPr>
        <w:t>, יחזיק ברשותו רשימה של המשרות והתפקידים המסווגים, ויפרט את הסיווג הביטחוני שנקבע להם; הרשימה תכלול פרטים אלה:</w:t>
      </w:r>
      <w:bookmarkEnd w:id="5"/>
    </w:p>
    <w:p w14:paraId="54E13749" w14:textId="77777777" w:rsidR="00207778" w:rsidRDefault="00207778">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ג': הודעה לאדם בדבר אי התאמה ביטחונית</w:t>
      </w:r>
    </w:p>
    <w:p w14:paraId="5F12DAA3" w14:textId="77777777" w:rsidR="00207778" w:rsidRDefault="00207778">
      <w:pPr>
        <w:pStyle w:val="P00"/>
        <w:spacing w:before="72"/>
        <w:ind w:left="0" w:right="1134"/>
        <w:rPr>
          <w:rStyle w:val="default"/>
          <w:rFonts w:cs="FrankRuehl" w:hint="cs"/>
          <w:rtl/>
        </w:rPr>
      </w:pPr>
      <w:bookmarkStart w:id="6" w:name="Seif4"/>
      <w:bookmarkEnd w:id="6"/>
      <w:r>
        <w:rPr>
          <w:rFonts w:cs="Miriam"/>
          <w:szCs w:val="32"/>
          <w:rtl/>
          <w:lang w:val="he-IL"/>
        </w:rPr>
        <w:pict w14:anchorId="217577D6">
          <v:shape id="_x0000_s1101" type="#_x0000_t202" style="position:absolute;left:0;text-align:left;margin-left:470.25pt;margin-top:6.15pt;width:1in;height:22.75pt;z-index:251647488" filled="f" stroked="f">
            <v:textbox inset="1mm,,1mm">
              <w:txbxContent>
                <w:p w14:paraId="3D07366E" w14:textId="77777777" w:rsidR="00207778" w:rsidRDefault="00207778">
                  <w:pPr>
                    <w:pStyle w:val="3"/>
                    <w:rPr>
                      <w:rFonts w:hint="cs"/>
                      <w:rtl/>
                    </w:rPr>
                  </w:pPr>
                  <w:r>
                    <w:rPr>
                      <w:rFonts w:hint="cs"/>
                      <w:rtl/>
                    </w:rPr>
                    <w:t>הודעה בדבר אי התאמה ביטחונית</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 xml:space="preserve">ניתנה החלטה בדבר אי התאמה ביטחונית של אדם למשרה או לתפקיד שסווגו בסיווג ביטחוני, תימסר לו על כך הודעה בהתאם להוראות פרק זה (בפרק זה </w:t>
      </w:r>
      <w:r>
        <w:rPr>
          <w:rStyle w:val="default"/>
          <w:rFonts w:cs="FrankRuehl"/>
          <w:rtl/>
        </w:rPr>
        <w:t>–</w:t>
      </w:r>
      <w:r>
        <w:rPr>
          <w:rStyle w:val="default"/>
          <w:rFonts w:cs="FrankRuehl" w:hint="cs"/>
          <w:rtl/>
        </w:rPr>
        <w:t xml:space="preserve"> ההודעה).</w:t>
      </w:r>
    </w:p>
    <w:p w14:paraId="715A875D" w14:textId="77777777" w:rsidR="00207778" w:rsidRDefault="00207778">
      <w:pPr>
        <w:pStyle w:val="P00"/>
        <w:spacing w:before="72"/>
        <w:ind w:left="0" w:right="1134"/>
        <w:rPr>
          <w:rStyle w:val="default"/>
          <w:rFonts w:cs="FrankRuehl" w:hint="cs"/>
          <w:rtl/>
        </w:rPr>
      </w:pPr>
      <w:bookmarkStart w:id="7" w:name="Seif5"/>
      <w:bookmarkEnd w:id="7"/>
      <w:r>
        <w:rPr>
          <w:rFonts w:cs="Miriam"/>
          <w:szCs w:val="32"/>
          <w:rtl/>
          <w:lang w:val="he-IL"/>
        </w:rPr>
        <w:pict w14:anchorId="3282FE45">
          <v:shape id="_x0000_s1102" type="#_x0000_t202" style="position:absolute;left:0;text-align:left;margin-left:470.25pt;margin-top:6.85pt;width:1in;height:22.75pt;z-index:251648512" filled="f" stroked="f">
            <v:textbox inset="1mm,,1mm">
              <w:txbxContent>
                <w:p w14:paraId="5906D97A" w14:textId="77777777" w:rsidR="00207778" w:rsidRDefault="00207778">
                  <w:pPr>
                    <w:pStyle w:val="3"/>
                    <w:rPr>
                      <w:rFonts w:hint="cs"/>
                      <w:rtl/>
                    </w:rPr>
                  </w:pPr>
                  <w:r>
                    <w:rPr>
                      <w:rFonts w:hint="cs"/>
                      <w:rtl/>
                    </w:rPr>
                    <w:t>אופן מסירת ההודעה</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ההודעה תהיה מטעם השירות, אשר ימסור אותה לאדם בכתב, במסירה אישית, באמצעות הגורם המפנה או בתיאום עמו.</w:t>
      </w:r>
    </w:p>
    <w:p w14:paraId="3907E70F" w14:textId="77777777" w:rsidR="00207778" w:rsidRDefault="00207778">
      <w:pPr>
        <w:pStyle w:val="P00"/>
        <w:spacing w:before="72"/>
        <w:ind w:left="0" w:right="1134"/>
        <w:rPr>
          <w:rStyle w:val="default"/>
          <w:rFonts w:cs="FrankRuehl" w:hint="cs"/>
          <w:rtl/>
        </w:rPr>
      </w:pPr>
      <w:bookmarkStart w:id="8" w:name="Seif6"/>
      <w:bookmarkEnd w:id="8"/>
      <w:r>
        <w:rPr>
          <w:rFonts w:cs="Miriam"/>
          <w:szCs w:val="32"/>
          <w:rtl/>
          <w:lang w:val="he-IL"/>
        </w:rPr>
        <w:pict w14:anchorId="66617960">
          <v:shape id="_x0000_s1104" type="#_x0000_t202" style="position:absolute;left:0;text-align:left;margin-left:470.25pt;margin-top:3.7pt;width:1in;height:16.8pt;z-index:251649536" filled="f" stroked="f">
            <v:textbox inset="1mm,,1mm">
              <w:txbxContent>
                <w:p w14:paraId="71E97BB5" w14:textId="77777777" w:rsidR="00207778" w:rsidRDefault="00207778">
                  <w:pPr>
                    <w:pStyle w:val="3"/>
                    <w:rPr>
                      <w:rFonts w:hint="cs"/>
                      <w:rtl/>
                    </w:rPr>
                  </w:pPr>
                  <w:r>
                    <w:rPr>
                      <w:rFonts w:hint="cs"/>
                      <w:rtl/>
                    </w:rPr>
                    <w:t>פרטי ההודעה</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ההודעה תכלול, בין השאר, פרטים אלה:</w:t>
      </w:r>
    </w:p>
    <w:p w14:paraId="7F37F00E" w14:textId="77777777" w:rsidR="00207778" w:rsidRDefault="0020777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ההחלטה בדבר אי ההתאמה הביטחונית של האדם, בהתייחס לתפקיד או למשרה המסווגים, או לסוג תפקידים או משרות כאמור;</w:t>
      </w:r>
    </w:p>
    <w:p w14:paraId="20013F7A" w14:textId="77777777" w:rsidR="00207778" w:rsidRDefault="0020777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ההנמקה לקביעת אי ההתאמה הביטחונית; הנמקה בנוגע למשרה או תפקיד ברשות ביטחון תיערך, במידת הצורך, בהתייעצות עם הגורם המוסמך באותה רשות ביטחון;</w:t>
      </w:r>
    </w:p>
    <w:p w14:paraId="6AECDE7E" w14:textId="77777777" w:rsidR="00207778" w:rsidRDefault="0020777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משך הזמן שאליו מתייחסת קביעת אי ההתאמה הביטחונית, אשר לא יעלה על 5 שנים;</w:t>
      </w:r>
    </w:p>
    <w:p w14:paraId="1C208A4D" w14:textId="77777777" w:rsidR="00207778" w:rsidRDefault="0020777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ציון הזכות להגשת השגה, המועד להגשתה והמען להגשת ההשגה.</w:t>
      </w:r>
    </w:p>
    <w:p w14:paraId="27666FA2" w14:textId="77777777" w:rsidR="00207778" w:rsidRDefault="00207778">
      <w:pPr>
        <w:pStyle w:val="P00"/>
        <w:spacing w:before="72"/>
        <w:ind w:left="0" w:right="1134"/>
        <w:rPr>
          <w:rStyle w:val="default"/>
          <w:rFonts w:cs="FrankRuehl" w:hint="cs"/>
          <w:rtl/>
        </w:rPr>
      </w:pPr>
      <w:bookmarkStart w:id="9" w:name="Seif7"/>
      <w:bookmarkEnd w:id="9"/>
      <w:r>
        <w:rPr>
          <w:rFonts w:cs="Miriam"/>
          <w:szCs w:val="32"/>
          <w:rtl/>
          <w:lang w:val="he-IL"/>
        </w:rPr>
        <w:pict w14:anchorId="447A4FAF">
          <v:shape id="_x0000_s1105" type="#_x0000_t202" style="position:absolute;left:0;text-align:left;margin-left:470.25pt;margin-top:1.85pt;width:1in;height:26.3pt;z-index:251650560" filled="f" stroked="f">
            <v:textbox inset="1mm,,1mm">
              <w:txbxContent>
                <w:p w14:paraId="018DE99E" w14:textId="77777777" w:rsidR="00207778" w:rsidRDefault="00207778">
                  <w:pPr>
                    <w:pStyle w:val="3"/>
                    <w:rPr>
                      <w:rFonts w:hint="cs"/>
                      <w:rtl/>
                    </w:rPr>
                  </w:pPr>
                  <w:r>
                    <w:rPr>
                      <w:rFonts w:hint="cs"/>
                      <w:rtl/>
                    </w:rPr>
                    <w:t>מועד מסירת ההודעה</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 xml:space="preserve">ההודעה תימסר לאדם, ככל האפשר, בתוך 21 ימים ממועד קבלת ההחלט הבענין; במקרים שלא ניתן למסור את ההודע לאדם בתוך המועד האמור </w:t>
      </w:r>
      <w:r>
        <w:rPr>
          <w:rStyle w:val="default"/>
          <w:rFonts w:cs="FrankRuehl"/>
          <w:rtl/>
        </w:rPr>
        <w:t>–</w:t>
      </w:r>
      <w:r>
        <w:rPr>
          <w:rStyle w:val="default"/>
          <w:rFonts w:cs="FrankRuehl" w:hint="cs"/>
          <w:rtl/>
        </w:rPr>
        <w:t xml:space="preserve"> תימסר ההודעה בתוך זמן סביר בנסיבות הענין.</w:t>
      </w:r>
    </w:p>
    <w:p w14:paraId="1FD57484" w14:textId="77777777" w:rsidR="00207778" w:rsidRDefault="00207778">
      <w:pPr>
        <w:pStyle w:val="P00"/>
        <w:spacing w:before="72"/>
        <w:ind w:left="0" w:right="1134"/>
        <w:rPr>
          <w:rStyle w:val="default"/>
          <w:rFonts w:cs="FrankRuehl" w:hint="cs"/>
          <w:rtl/>
        </w:rPr>
      </w:pPr>
      <w:bookmarkStart w:id="10" w:name="Seif8"/>
      <w:bookmarkEnd w:id="10"/>
      <w:r>
        <w:rPr>
          <w:rFonts w:cs="Miriam"/>
          <w:szCs w:val="32"/>
          <w:rtl/>
          <w:lang w:val="he-IL"/>
        </w:rPr>
        <w:pict w14:anchorId="234FD76D">
          <v:shape id="_x0000_s1106" type="#_x0000_t202" style="position:absolute;left:0;text-align:left;margin-left:470.25pt;margin-top:4.55pt;width:1in;height:24.4pt;z-index:251651584" filled="f" stroked="f">
            <v:textbox inset="1mm,,1mm">
              <w:txbxContent>
                <w:p w14:paraId="3332C73F" w14:textId="77777777" w:rsidR="00207778" w:rsidRDefault="00207778">
                  <w:pPr>
                    <w:pStyle w:val="3"/>
                    <w:rPr>
                      <w:rFonts w:hint="cs"/>
                      <w:rtl/>
                    </w:rPr>
                  </w:pPr>
                  <w:r>
                    <w:rPr>
                      <w:rFonts w:hint="cs"/>
                      <w:rtl/>
                    </w:rPr>
                    <w:t>סייגים למסירת הודעה</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t>במקרים שבהם קיים חשש סביר כי מסירת הודעה בנוסח, באופן ובמועד, המפורטים בתקנות 6, 7 ו-8 עלולה להביא לפגיעה בביטחון המדינה או בשלומו של אדם, רשאי ראש האגף, לאחר היוועצות בגורם המפנה ובאישור ראש השירות, לאשר את שינוי תוכן ההודעה או את אופן מסירתה או את מועד מסירתה; בהודעה המתייחסת לנושא משרה או תפקיד ברשות ביטחון, יפעל ראש האגף כאמור לאחר תיאום עם הגורם המוסמך ברשות הביטחון.</w:t>
      </w:r>
    </w:p>
    <w:p w14:paraId="5AE3BD8C"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במקרים כאמור בתקנת משנה (א), שענינם חשש לפגיעה בבריאותו הנפשית או הפיזית של האדם </w:t>
      </w:r>
      <w:r>
        <w:rPr>
          <w:rStyle w:val="default"/>
          <w:rFonts w:cs="FrankRuehl"/>
          <w:rtl/>
        </w:rPr>
        <w:t>–</w:t>
      </w:r>
      <w:r>
        <w:rPr>
          <w:rStyle w:val="default"/>
          <w:rFonts w:cs="FrankRuehl" w:hint="cs"/>
          <w:rtl/>
        </w:rPr>
        <w:t xml:space="preserve"> ייוועץ ראש האגף במומחה מתחום הרפואה או הפסיכולוגיה </w:t>
      </w:r>
      <w:r>
        <w:rPr>
          <w:rStyle w:val="default"/>
          <w:rFonts w:cs="FrankRuehl"/>
          <w:rtl/>
        </w:rPr>
        <w:t>–</w:t>
      </w:r>
      <w:r>
        <w:rPr>
          <w:rStyle w:val="default"/>
          <w:rFonts w:cs="FrankRuehl" w:hint="cs"/>
          <w:rtl/>
        </w:rPr>
        <w:t xml:space="preserve"> טרם קבלת החלטה כאמור ורשאי הוא, בהסכמתו של האדם שלגביו נקבעה אי ההתאמה הביטחונית, להורות על מסירת ההנמקה לקביעת אי ההתאמה, במקרים כאמור, לידיעת אדם אחר מטעמו.</w:t>
      </w:r>
    </w:p>
    <w:p w14:paraId="6DEB9CA4" w14:textId="77777777" w:rsidR="00207778" w:rsidRDefault="00207778">
      <w:pPr>
        <w:pStyle w:val="P00"/>
        <w:spacing w:before="72"/>
        <w:ind w:left="0" w:right="1134"/>
        <w:rPr>
          <w:rStyle w:val="default"/>
          <w:rFonts w:cs="FrankRuehl" w:hint="cs"/>
          <w:rtl/>
        </w:rPr>
      </w:pPr>
      <w:bookmarkStart w:id="11" w:name="Seif9"/>
      <w:bookmarkEnd w:id="11"/>
      <w:r>
        <w:rPr>
          <w:rFonts w:cs="Miriam"/>
          <w:szCs w:val="32"/>
          <w:rtl/>
          <w:lang w:val="he-IL"/>
        </w:rPr>
        <w:pict w14:anchorId="490824D3">
          <v:shape id="_x0000_s1107" type="#_x0000_t202" style="position:absolute;left:0;text-align:left;margin-left:470.25pt;margin-top:3pt;width:1in;height:25.3pt;z-index:251652608" filled="f" stroked="f">
            <v:textbox inset="1mm,,1mm">
              <w:txbxContent>
                <w:p w14:paraId="68072943" w14:textId="77777777" w:rsidR="00207778" w:rsidRDefault="00207778">
                  <w:pPr>
                    <w:pStyle w:val="3"/>
                    <w:rPr>
                      <w:rFonts w:hint="cs"/>
                      <w:rtl/>
                    </w:rPr>
                  </w:pPr>
                  <w:r>
                    <w:rPr>
                      <w:rFonts w:hint="cs"/>
                      <w:rtl/>
                    </w:rPr>
                    <w:t>אי התאמה לתפקיד בצה"ל</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תקנות 6, 7, 8 ו-9 יחולו גם על החלטה בדבר אי התאמה ביטחונית לתפקיד בצה"ל, בשינויים אלה:</w:t>
      </w:r>
    </w:p>
    <w:p w14:paraId="02E5384B" w14:textId="77777777" w:rsidR="00207778" w:rsidRDefault="0020777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ההודעה תהיה מטעם ראש מחלקת ביטחון מידע בצה"ל;</w:t>
      </w:r>
    </w:p>
    <w:p w14:paraId="2EAD3A56" w14:textId="77777777" w:rsidR="00207778" w:rsidRDefault="0020777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סמכות ראש האגף לענין תקנה 9 תהיה נתונה לראש מחלקת ביטחון מידע בצה"ל.</w:t>
      </w:r>
    </w:p>
    <w:p w14:paraId="46A3CBB6" w14:textId="77777777" w:rsidR="00207778" w:rsidRDefault="00207778">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ד': דרכי פנייה לועדת ההשגה בגין קביעת אי התאמה ביטחונית, סמכויותיה וסדרי הדיון בפניה</w:t>
      </w:r>
    </w:p>
    <w:p w14:paraId="14CAE720" w14:textId="77777777" w:rsidR="00207778" w:rsidRDefault="00207778">
      <w:pPr>
        <w:pStyle w:val="P00"/>
        <w:spacing w:before="72"/>
        <w:ind w:left="0" w:right="1134"/>
        <w:rPr>
          <w:rStyle w:val="default"/>
          <w:rFonts w:cs="FrankRuehl" w:hint="cs"/>
          <w:rtl/>
        </w:rPr>
      </w:pPr>
      <w:bookmarkStart w:id="12" w:name="Seif10"/>
      <w:bookmarkEnd w:id="12"/>
      <w:r>
        <w:rPr>
          <w:rFonts w:cs="Miriam"/>
          <w:szCs w:val="32"/>
          <w:rtl/>
          <w:lang w:val="he-IL"/>
        </w:rPr>
        <w:pict w14:anchorId="58797D48">
          <v:shape id="_x0000_s1108" type="#_x0000_t202" style="position:absolute;left:0;text-align:left;margin-left:470.25pt;margin-top:6.45pt;width:1in;height:16.8pt;z-index:251653632" filled="f" stroked="f">
            <v:textbox inset="1mm,,1mm">
              <w:txbxContent>
                <w:p w14:paraId="66C1B423" w14:textId="77777777" w:rsidR="00207778" w:rsidRDefault="00207778">
                  <w:pPr>
                    <w:pStyle w:val="3"/>
                    <w:rPr>
                      <w:rFonts w:hint="cs"/>
                      <w:rtl/>
                    </w:rPr>
                  </w:pPr>
                  <w:r>
                    <w:rPr>
                      <w:rFonts w:hint="cs"/>
                      <w:rtl/>
                    </w:rPr>
                    <w:t>הזכות להשיג</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 xml:space="preserve">אדם שקיבל הודעה בדבר החלטה על אי התאמתו הביטחונית לתפקיד או למשרה שסווגו בסיווג ביטחוני זכאי להשיג על ההחלטה לפני הועדה (להלן </w:t>
      </w:r>
      <w:r>
        <w:rPr>
          <w:rStyle w:val="default"/>
          <w:rFonts w:cs="FrankRuehl"/>
          <w:rtl/>
        </w:rPr>
        <w:t>–</w:t>
      </w:r>
      <w:r>
        <w:rPr>
          <w:rStyle w:val="default"/>
          <w:rFonts w:cs="FrankRuehl" w:hint="cs"/>
          <w:rtl/>
        </w:rPr>
        <w:t xml:space="preserve"> ההשגה).</w:t>
      </w:r>
    </w:p>
    <w:p w14:paraId="47118094" w14:textId="77777777" w:rsidR="00207778" w:rsidRDefault="00207778">
      <w:pPr>
        <w:pStyle w:val="P00"/>
        <w:spacing w:before="72"/>
        <w:ind w:left="0" w:right="1134"/>
        <w:rPr>
          <w:rStyle w:val="default"/>
          <w:rFonts w:cs="FrankRuehl" w:hint="cs"/>
          <w:rtl/>
        </w:rPr>
      </w:pPr>
      <w:bookmarkStart w:id="13" w:name="Seif11"/>
      <w:bookmarkEnd w:id="13"/>
      <w:r>
        <w:rPr>
          <w:rFonts w:cs="Miriam"/>
          <w:szCs w:val="32"/>
          <w:rtl/>
          <w:lang w:val="he-IL"/>
        </w:rPr>
        <w:pict w14:anchorId="47C809B3">
          <v:shape id="_x0000_s1109" type="#_x0000_t202" style="position:absolute;left:0;text-align:left;margin-left:470.25pt;margin-top:1.55pt;width:1in;height:16.8pt;z-index:251654656" filled="f" stroked="f">
            <v:textbox inset="1mm,,1mm">
              <w:txbxContent>
                <w:p w14:paraId="21DC6499" w14:textId="77777777" w:rsidR="00207778" w:rsidRDefault="00207778">
                  <w:pPr>
                    <w:pStyle w:val="3"/>
                    <w:rPr>
                      <w:rFonts w:hint="cs"/>
                      <w:rtl/>
                    </w:rPr>
                  </w:pPr>
                  <w:r>
                    <w:rPr>
                      <w:rFonts w:hint="cs"/>
                      <w:rtl/>
                    </w:rPr>
                    <w:t>חברי הועדה</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t>(א)</w:t>
      </w:r>
      <w:r>
        <w:rPr>
          <w:rStyle w:val="default"/>
          <w:rFonts w:cs="FrankRuehl" w:hint="cs"/>
          <w:rtl/>
        </w:rPr>
        <w:tab/>
        <w:t>חברי הועדה ימונו לתקופת כהונה של שנתיים, וניתן לשוב ולמנותם באותה דרך לתקופות כהונה נוספות של שנתיים כל אחת.</w:t>
      </w:r>
    </w:p>
    <w:p w14:paraId="057E9253"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הממשלה ושר הביטחון, לפי הענין, רשאים, לאחר התייעצות עם שר המשפטים, למנות ממלאי מקום ליושב ראש הועדה ולחברי הועדה.</w:t>
      </w:r>
    </w:p>
    <w:p w14:paraId="63C0247C" w14:textId="77777777" w:rsidR="00207778" w:rsidRDefault="00207778">
      <w:pPr>
        <w:pStyle w:val="P00"/>
        <w:spacing w:before="72"/>
        <w:ind w:left="0" w:right="1134"/>
        <w:rPr>
          <w:rStyle w:val="default"/>
          <w:rFonts w:cs="FrankRuehl" w:hint="cs"/>
          <w:rtl/>
        </w:rPr>
      </w:pPr>
      <w:bookmarkStart w:id="14" w:name="Seif12"/>
      <w:bookmarkEnd w:id="14"/>
      <w:r>
        <w:rPr>
          <w:rFonts w:cs="Miriam"/>
          <w:szCs w:val="32"/>
          <w:rtl/>
          <w:lang w:val="he-IL"/>
        </w:rPr>
        <w:pict w14:anchorId="6028E9FF">
          <v:shape id="_x0000_s1110" type="#_x0000_t202" style="position:absolute;left:0;text-align:left;margin-left:470.25pt;margin-top:5pt;width:1in;height:22.4pt;z-index:251655680" filled="f" stroked="f">
            <v:textbox inset="1mm,,1mm">
              <w:txbxContent>
                <w:p w14:paraId="2A5D3FC2" w14:textId="77777777" w:rsidR="00207778" w:rsidRDefault="00207778">
                  <w:pPr>
                    <w:pStyle w:val="3"/>
                    <w:rPr>
                      <w:rFonts w:hint="cs"/>
                      <w:rtl/>
                    </w:rPr>
                  </w:pPr>
                  <w:r>
                    <w:rPr>
                      <w:rFonts w:hint="cs"/>
                      <w:rtl/>
                    </w:rPr>
                    <w:t>המועד להגשת ההשגה</w:t>
                  </w:r>
                </w:p>
              </w:txbxContent>
            </v:textbox>
            <w10:anchorlock/>
          </v:shape>
        </w:pict>
      </w:r>
      <w:r>
        <w:rPr>
          <w:rStyle w:val="default"/>
          <w:rFonts w:cs="Miriam" w:hint="cs"/>
          <w:sz w:val="32"/>
          <w:szCs w:val="32"/>
          <w:rtl/>
        </w:rPr>
        <w:t>13</w:t>
      </w:r>
      <w:r>
        <w:rPr>
          <w:rStyle w:val="default"/>
          <w:rFonts w:cs="FrankRuehl" w:hint="cs"/>
          <w:rtl/>
        </w:rPr>
        <w:t>.</w:t>
      </w:r>
      <w:r>
        <w:rPr>
          <w:rStyle w:val="default"/>
          <w:rFonts w:cs="FrankRuehl" w:hint="cs"/>
          <w:rtl/>
        </w:rPr>
        <w:tab/>
        <w:t>(א)</w:t>
      </w:r>
      <w:r>
        <w:rPr>
          <w:rStyle w:val="default"/>
          <w:rFonts w:cs="FrankRuehl" w:hint="cs"/>
          <w:rtl/>
        </w:rPr>
        <w:tab/>
        <w:t>ההשגה תוגש בתוך 30 ימים מהיום שבו נמסרה למשיג ההודעה בדבר אי התאמה ביטחונית.</w:t>
      </w:r>
    </w:p>
    <w:p w14:paraId="5D449AF0"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הועדה רשאית להאריך את המועד שנקבע להגשת ההשגה כאמור, אם ראתה הצדקה לכך.</w:t>
      </w:r>
    </w:p>
    <w:p w14:paraId="2BF8C6A0" w14:textId="77777777" w:rsidR="00207778" w:rsidRDefault="00207778">
      <w:pPr>
        <w:pStyle w:val="P00"/>
        <w:spacing w:before="72"/>
        <w:ind w:left="0" w:right="1134"/>
        <w:rPr>
          <w:rStyle w:val="default"/>
          <w:rFonts w:cs="FrankRuehl" w:hint="cs"/>
          <w:rtl/>
        </w:rPr>
      </w:pPr>
      <w:bookmarkStart w:id="15" w:name="Seif13"/>
      <w:bookmarkEnd w:id="15"/>
      <w:r>
        <w:rPr>
          <w:rFonts w:cs="Miriam"/>
          <w:szCs w:val="32"/>
          <w:rtl/>
          <w:lang w:val="he-IL"/>
        </w:rPr>
        <w:pict w14:anchorId="1CA5D0E7">
          <v:shape id="_x0000_s1111" type="#_x0000_t202" style="position:absolute;left:0;text-align:left;margin-left:470.25pt;margin-top:4.1pt;width:1in;height:16.8pt;z-index:251656704" filled="f" stroked="f">
            <v:textbox style="mso-next-textbox:#_x0000_s1111" inset="1mm,,1mm">
              <w:txbxContent>
                <w:p w14:paraId="4C8E39AF" w14:textId="77777777" w:rsidR="00207778" w:rsidRDefault="00207778">
                  <w:pPr>
                    <w:pStyle w:val="3"/>
                    <w:rPr>
                      <w:rFonts w:hint="cs"/>
                      <w:rtl/>
                    </w:rPr>
                  </w:pPr>
                  <w:r>
                    <w:rPr>
                      <w:rFonts w:hint="cs"/>
                      <w:rtl/>
                    </w:rPr>
                    <w:t>המשיב בהשגה</w:t>
                  </w:r>
                </w:p>
              </w:txbxContent>
            </v:textbox>
            <w10:anchorlock/>
          </v:shape>
        </w:pict>
      </w:r>
      <w:r>
        <w:rPr>
          <w:rStyle w:val="default"/>
          <w:rFonts w:cs="Miriam" w:hint="cs"/>
          <w:sz w:val="32"/>
          <w:szCs w:val="32"/>
          <w:rtl/>
        </w:rPr>
        <w:t>14</w:t>
      </w:r>
      <w:r>
        <w:rPr>
          <w:rStyle w:val="default"/>
          <w:rFonts w:cs="FrankRuehl" w:hint="cs"/>
          <w:rtl/>
        </w:rPr>
        <w:t>.</w:t>
      </w:r>
      <w:r>
        <w:rPr>
          <w:rStyle w:val="default"/>
          <w:rFonts w:cs="FrankRuehl" w:hint="cs"/>
          <w:rtl/>
        </w:rPr>
        <w:tab/>
        <w:t>המשיב בהשגה יהיה השירות.</w:t>
      </w:r>
    </w:p>
    <w:p w14:paraId="01E8AF03" w14:textId="77777777" w:rsidR="00207778" w:rsidRDefault="00207778">
      <w:pPr>
        <w:pStyle w:val="P00"/>
        <w:spacing w:before="72"/>
        <w:ind w:left="0" w:right="1134"/>
        <w:rPr>
          <w:rStyle w:val="default"/>
          <w:rFonts w:cs="FrankRuehl" w:hint="cs"/>
          <w:rtl/>
        </w:rPr>
      </w:pPr>
      <w:bookmarkStart w:id="16" w:name="Seif14"/>
      <w:bookmarkEnd w:id="16"/>
      <w:r>
        <w:rPr>
          <w:rFonts w:cs="Miriam"/>
          <w:szCs w:val="32"/>
          <w:rtl/>
          <w:lang w:val="he-IL"/>
        </w:rPr>
        <w:pict w14:anchorId="204BEBA9">
          <v:shape id="_x0000_s1112" type="#_x0000_t202" style="position:absolute;left:0;text-align:left;margin-left:470.25pt;margin-top:.95pt;width:1in;height:16.8pt;z-index:251657728" filled="f" stroked="f">
            <v:textbox style="mso-next-textbox:#_x0000_s1112" inset="1mm,,1mm">
              <w:txbxContent>
                <w:p w14:paraId="6B4FF49B" w14:textId="77777777" w:rsidR="00207778" w:rsidRDefault="00207778">
                  <w:pPr>
                    <w:pStyle w:val="3"/>
                    <w:rPr>
                      <w:rFonts w:hint="cs"/>
                      <w:rtl/>
                    </w:rPr>
                  </w:pPr>
                  <w:r>
                    <w:rPr>
                      <w:rFonts w:hint="cs"/>
                      <w:rtl/>
                    </w:rPr>
                    <w:t>כתב ההשגה</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t>(א)</w:t>
      </w:r>
      <w:r>
        <w:rPr>
          <w:rStyle w:val="default"/>
          <w:rFonts w:cs="FrankRuehl" w:hint="cs"/>
          <w:rtl/>
        </w:rPr>
        <w:tab/>
        <w:t xml:space="preserve">כתב ההשגה </w:t>
      </w:r>
      <w:r>
        <w:rPr>
          <w:rStyle w:val="default"/>
          <w:rFonts w:cs="FrankRuehl"/>
          <w:rtl/>
        </w:rPr>
        <w:t>–</w:t>
      </w:r>
    </w:p>
    <w:p w14:paraId="568EB31F" w14:textId="77777777" w:rsidR="00207778" w:rsidRDefault="002077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יוגש לועדה, על נספחיו, בחמישה עותקים;</w:t>
      </w:r>
    </w:p>
    <w:p w14:paraId="3B7A8C79" w14:textId="77777777" w:rsidR="00207778" w:rsidRDefault="002077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יועבר על ידי הועדה למשיב;</w:t>
      </w:r>
    </w:p>
    <w:p w14:paraId="676BD120" w14:textId="77777777" w:rsidR="00207778" w:rsidRDefault="0020777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יועבר בעותק אחד על ידי המשיב לגורם המפנה.</w:t>
      </w:r>
    </w:p>
    <w:p w14:paraId="2E42AA4B"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כתב ההשגה יכלול פרטים אלה:</w:t>
      </w:r>
    </w:p>
    <w:p w14:paraId="4E8BC7C7" w14:textId="77777777" w:rsidR="00207778" w:rsidRDefault="002077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 של המשיג ושם בא כוחו, אם יש לו בא כוח, וכן מען להמצאת מסמכים;</w:t>
      </w:r>
    </w:p>
    <w:p w14:paraId="637BF089" w14:textId="77777777" w:rsidR="00207778" w:rsidRDefault="002077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התאריך שבו נמסרה למשיג ההודעה בדבר אי התאמתו הביטחונית;</w:t>
      </w:r>
    </w:p>
    <w:p w14:paraId="24C7B068" w14:textId="77777777" w:rsidR="00207778" w:rsidRDefault="0020777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עיקרי העובדות והנימוקים שעליהם מבסס המשיג את ההשגה;</w:t>
      </w:r>
    </w:p>
    <w:p w14:paraId="1BC74A31" w14:textId="77777777" w:rsidR="00207778" w:rsidRDefault="0020777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הסעד המבוקש.</w:t>
      </w:r>
    </w:p>
    <w:p w14:paraId="47760D6C" w14:textId="77777777" w:rsidR="00207778" w:rsidRDefault="0020777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כתב ההשגה ייחתם בידי המשיג או בידי בא כוחו.</w:t>
      </w:r>
    </w:p>
    <w:p w14:paraId="16EDB6FD" w14:textId="77777777" w:rsidR="00207778" w:rsidRDefault="0020777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לכתב ההשגה יצורפו מסמכים אלה:</w:t>
      </w:r>
    </w:p>
    <w:p w14:paraId="3891B7B7" w14:textId="77777777" w:rsidR="00207778" w:rsidRDefault="002077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תצהיר המשיג לאימות העובדות שפורטו בהשגה;</w:t>
      </w:r>
    </w:p>
    <w:p w14:paraId="4941BCF9" w14:textId="77777777" w:rsidR="00207778" w:rsidRDefault="002077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עותק מההודעה בדבר אי התאמה ביטחונית;</w:t>
      </w:r>
    </w:p>
    <w:p w14:paraId="79FB7FF5" w14:textId="77777777" w:rsidR="00207778" w:rsidRDefault="0020777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מיוצג המשיג על ידי בא כוח </w:t>
      </w:r>
      <w:r>
        <w:rPr>
          <w:rStyle w:val="default"/>
          <w:rFonts w:cs="FrankRuehl"/>
          <w:rtl/>
        </w:rPr>
        <w:t>–</w:t>
      </w:r>
      <w:r>
        <w:rPr>
          <w:rStyle w:val="default"/>
          <w:rFonts w:cs="FrankRuehl" w:hint="cs"/>
          <w:rtl/>
        </w:rPr>
        <w:t xml:space="preserve"> ייפוי כוח שלו.</w:t>
      </w:r>
    </w:p>
    <w:p w14:paraId="4068E299" w14:textId="77777777" w:rsidR="00207778" w:rsidRDefault="00207778">
      <w:pPr>
        <w:pStyle w:val="P00"/>
        <w:spacing w:before="72"/>
        <w:ind w:left="0" w:right="1134"/>
        <w:rPr>
          <w:rStyle w:val="default"/>
          <w:rFonts w:cs="FrankRuehl" w:hint="cs"/>
          <w:rtl/>
        </w:rPr>
      </w:pPr>
      <w:bookmarkStart w:id="17" w:name="Seif15"/>
      <w:bookmarkEnd w:id="17"/>
      <w:r>
        <w:rPr>
          <w:rFonts w:cs="Miriam"/>
          <w:szCs w:val="32"/>
          <w:rtl/>
          <w:lang w:val="he-IL"/>
        </w:rPr>
        <w:pict w14:anchorId="1B9C7FA6">
          <v:shape id="_x0000_s1113" type="#_x0000_t202" style="position:absolute;left:0;text-align:left;margin-left:470.25pt;margin-top:6.05pt;width:1in;height:16.8pt;z-index:251658752" filled="f" stroked="f">
            <v:textbox inset="1mm,,1mm">
              <w:txbxContent>
                <w:p w14:paraId="27BCD3CB" w14:textId="77777777" w:rsidR="00207778" w:rsidRDefault="00207778">
                  <w:pPr>
                    <w:pStyle w:val="3"/>
                    <w:rPr>
                      <w:rFonts w:hint="cs"/>
                      <w:rtl/>
                    </w:rPr>
                  </w:pPr>
                  <w:r>
                    <w:rPr>
                      <w:rFonts w:hint="cs"/>
                      <w:rtl/>
                    </w:rPr>
                    <w:t>ייצוג</w:t>
                  </w:r>
                </w:p>
              </w:txbxContent>
            </v:textbox>
            <w10:anchorlock/>
          </v:shape>
        </w:pict>
      </w:r>
      <w:r>
        <w:rPr>
          <w:rStyle w:val="default"/>
          <w:rFonts w:cs="Miriam" w:hint="cs"/>
          <w:sz w:val="32"/>
          <w:szCs w:val="32"/>
          <w:rtl/>
        </w:rPr>
        <w:t>16</w:t>
      </w:r>
      <w:r>
        <w:rPr>
          <w:rStyle w:val="default"/>
          <w:rFonts w:cs="FrankRuehl" w:hint="cs"/>
          <w:rtl/>
        </w:rPr>
        <w:t>.</w:t>
      </w:r>
      <w:r>
        <w:rPr>
          <w:rStyle w:val="default"/>
          <w:rFonts w:cs="FrankRuehl" w:hint="cs"/>
          <w:rtl/>
        </w:rPr>
        <w:tab/>
        <w:t>(א)</w:t>
      </w:r>
      <w:r>
        <w:rPr>
          <w:rStyle w:val="default"/>
          <w:rFonts w:cs="FrankRuehl" w:hint="cs"/>
          <w:rtl/>
        </w:rPr>
        <w:tab/>
        <w:t>המשיג רשאי לטעון לפני הועדה בעצמו ויכול שעורך דין, בא כוחו, יטען בשמו.</w:t>
      </w:r>
    </w:p>
    <w:p w14:paraId="12C9E685"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את המשיב ייצג בועדה נציג היועץ המשפטי לממשלה; לענין זה, "נציג היועץ המשפטי לממשלה" </w:t>
      </w:r>
      <w:r>
        <w:rPr>
          <w:rStyle w:val="default"/>
          <w:rFonts w:cs="FrankRuehl"/>
          <w:rtl/>
        </w:rPr>
        <w:t>–</w:t>
      </w:r>
      <w:r>
        <w:rPr>
          <w:rStyle w:val="default"/>
          <w:rFonts w:cs="FrankRuehl" w:hint="cs"/>
          <w:rtl/>
        </w:rPr>
        <w:t xml:space="preserve"> פרקליט מפרקליטות המדינה או עורך דין מהאגף לייעוץ משפטי בשירות שהיועץ המשפטי לממשלה הסמיכו לענין זה.</w:t>
      </w:r>
    </w:p>
    <w:p w14:paraId="669D351C" w14:textId="77777777" w:rsidR="00207778" w:rsidRDefault="0020777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נציג הגורם המפנה יהיה רשאי להתייצב בדיוני הועדה, לשם מתן הסברים והבהרות ככל שיידרש.</w:t>
      </w:r>
    </w:p>
    <w:p w14:paraId="380B673D" w14:textId="77777777" w:rsidR="00207778" w:rsidRDefault="00207778">
      <w:pPr>
        <w:pStyle w:val="P00"/>
        <w:spacing w:before="72"/>
        <w:ind w:left="0" w:right="1134"/>
        <w:rPr>
          <w:rStyle w:val="default"/>
          <w:rFonts w:cs="FrankRuehl" w:hint="cs"/>
          <w:rtl/>
        </w:rPr>
      </w:pPr>
      <w:bookmarkStart w:id="18" w:name="Seif16"/>
      <w:bookmarkEnd w:id="18"/>
      <w:r>
        <w:rPr>
          <w:rFonts w:cs="Miriam"/>
          <w:szCs w:val="32"/>
          <w:rtl/>
          <w:lang w:val="he-IL"/>
        </w:rPr>
        <w:pict w14:anchorId="5DD9C132">
          <v:shape id="_x0000_s1114" type="#_x0000_t202" style="position:absolute;left:0;text-align:left;margin-left:470.25pt;margin-top:3.55pt;width:1in;height:16.8pt;z-index:251659776" filled="f" stroked="f">
            <v:textbox inset="1mm,,1mm">
              <w:txbxContent>
                <w:p w14:paraId="6C8F9A44" w14:textId="77777777" w:rsidR="00207778" w:rsidRDefault="00207778">
                  <w:pPr>
                    <w:pStyle w:val="3"/>
                    <w:rPr>
                      <w:rFonts w:hint="cs"/>
                      <w:rtl/>
                    </w:rPr>
                  </w:pPr>
                  <w:r>
                    <w:rPr>
                      <w:rFonts w:hint="cs"/>
                      <w:rtl/>
                    </w:rPr>
                    <w:t>סעד ביניים</w:t>
                  </w:r>
                </w:p>
              </w:txbxContent>
            </v:textbox>
            <w10:anchorlock/>
          </v:shape>
        </w:pict>
      </w:r>
      <w:r>
        <w:rPr>
          <w:rStyle w:val="default"/>
          <w:rFonts w:cs="Miriam" w:hint="cs"/>
          <w:sz w:val="32"/>
          <w:szCs w:val="32"/>
          <w:rtl/>
        </w:rPr>
        <w:t>17</w:t>
      </w:r>
      <w:r>
        <w:rPr>
          <w:rStyle w:val="default"/>
          <w:rFonts w:cs="FrankRuehl" w:hint="cs"/>
          <w:rtl/>
        </w:rPr>
        <w:t>.</w:t>
      </w:r>
      <w:r>
        <w:rPr>
          <w:rStyle w:val="default"/>
          <w:rFonts w:cs="FrankRuehl" w:hint="cs"/>
          <w:rtl/>
        </w:rPr>
        <w:tab/>
        <w:t>(א)</w:t>
      </w:r>
      <w:r>
        <w:rPr>
          <w:rStyle w:val="default"/>
          <w:rFonts w:cs="FrankRuehl" w:hint="cs"/>
          <w:rtl/>
        </w:rPr>
        <w:tab/>
        <w:t>הגשת השגה לועדה, לא יהיה בה כשלעצמה, כדי לעכב או למנוע את האיוש של התפקיד או המשרה הנוגעים בדבר על ידי אדם אחר.</w:t>
      </w:r>
    </w:p>
    <w:p w14:paraId="28845080"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תהיה הועדה רשאית להחליט, לבקשת המשיג ומנימוקים שיירשמו, כי המשרה או התפקיד לא יאוישו או כי יאוישו באיוש זמני בלבד, לפרק זמן ובתנאים שתקבע; הועדה לא תקבל החלטה כאמור, אלא לאחר שתשמע לענין זה את טענות הגורם המפנה והמשיב.</w:t>
      </w:r>
    </w:p>
    <w:p w14:paraId="771100F5" w14:textId="77777777" w:rsidR="00207778" w:rsidRDefault="0020777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לסעד ביניים תוגש בנפרד מן ההשגה, במידת האפשר במועד הגשת ההשגה; בבקשה יפורטו העובדות והנימוקים התומכים בה; העובדות בכתב הבקשה יאומתו בתצהיר של המשיג.</w:t>
      </w:r>
    </w:p>
    <w:p w14:paraId="625EBBA0" w14:textId="77777777" w:rsidR="00207778" w:rsidRDefault="00207778">
      <w:pPr>
        <w:pStyle w:val="P00"/>
        <w:spacing w:before="72"/>
        <w:ind w:left="0" w:right="1134"/>
        <w:rPr>
          <w:rStyle w:val="default"/>
          <w:rFonts w:cs="FrankRuehl" w:hint="cs"/>
          <w:rtl/>
        </w:rPr>
      </w:pPr>
      <w:bookmarkStart w:id="19" w:name="Seif17"/>
      <w:bookmarkEnd w:id="19"/>
      <w:r>
        <w:rPr>
          <w:rFonts w:cs="Miriam"/>
          <w:szCs w:val="32"/>
          <w:rtl/>
          <w:lang w:val="he-IL"/>
        </w:rPr>
        <w:pict w14:anchorId="05D5765B">
          <v:shape id="_x0000_s1115" type="#_x0000_t202" style="position:absolute;left:0;text-align:left;margin-left:470.25pt;margin-top:3.05pt;width:1in;height:22.4pt;z-index:251660800" filled="f" stroked="f">
            <v:textbox inset="1mm,,1mm">
              <w:txbxContent>
                <w:p w14:paraId="0B562E39" w14:textId="77777777" w:rsidR="00207778" w:rsidRDefault="00207778">
                  <w:pPr>
                    <w:pStyle w:val="3"/>
                    <w:rPr>
                      <w:rFonts w:hint="cs"/>
                      <w:sz w:val="18"/>
                      <w:rtl/>
                    </w:rPr>
                  </w:pPr>
                  <w:r>
                    <w:rPr>
                      <w:rFonts w:hint="cs"/>
                      <w:rtl/>
                    </w:rPr>
                    <w:t>קביעת מועד לשמיעת ההשגה</w:t>
                  </w:r>
                </w:p>
              </w:txbxContent>
            </v:textbox>
            <w10:anchorlock/>
          </v:shape>
        </w:pict>
      </w:r>
      <w:r>
        <w:rPr>
          <w:rStyle w:val="default"/>
          <w:rFonts w:cs="Miriam" w:hint="cs"/>
          <w:sz w:val="32"/>
          <w:szCs w:val="32"/>
          <w:rtl/>
        </w:rPr>
        <w:t>18</w:t>
      </w:r>
      <w:r>
        <w:rPr>
          <w:rStyle w:val="default"/>
          <w:rFonts w:cs="FrankRuehl" w:hint="cs"/>
          <w:rtl/>
        </w:rPr>
        <w:t>.</w:t>
      </w:r>
      <w:r>
        <w:rPr>
          <w:rStyle w:val="default"/>
          <w:rFonts w:cs="FrankRuehl" w:hint="cs"/>
          <w:rtl/>
        </w:rPr>
        <w:tab/>
        <w:t>יושב ראש הועדה יקבע מועד לשמיעת ההשגה בהקדם האפשרי, ולא יאוחר מאשר בתוך 30 ימים מיום הגשת ההשגה.</w:t>
      </w:r>
    </w:p>
    <w:p w14:paraId="6750D671" w14:textId="77777777" w:rsidR="00207778" w:rsidRDefault="00207778">
      <w:pPr>
        <w:pStyle w:val="P00"/>
        <w:spacing w:before="72"/>
        <w:ind w:left="0" w:right="1134"/>
        <w:rPr>
          <w:rStyle w:val="default"/>
          <w:rFonts w:cs="FrankRuehl" w:hint="cs"/>
          <w:rtl/>
        </w:rPr>
      </w:pPr>
      <w:bookmarkStart w:id="20" w:name="Seif18"/>
      <w:bookmarkEnd w:id="20"/>
      <w:r>
        <w:rPr>
          <w:rFonts w:cs="Miriam"/>
          <w:szCs w:val="32"/>
          <w:rtl/>
          <w:lang w:val="he-IL"/>
        </w:rPr>
        <w:pict w14:anchorId="692A36B4">
          <v:shape id="_x0000_s1116" type="#_x0000_t202" style="position:absolute;left:0;text-align:left;margin-left:470.25pt;margin-top:3.75pt;width:1in;height:16.8pt;z-index:251661824" filled="f" stroked="f">
            <v:textbox inset="1mm,,1mm">
              <w:txbxContent>
                <w:p w14:paraId="6FB3F6DC" w14:textId="77777777" w:rsidR="00207778" w:rsidRDefault="00207778">
                  <w:pPr>
                    <w:pStyle w:val="3"/>
                    <w:rPr>
                      <w:rFonts w:hint="cs"/>
                      <w:rtl/>
                    </w:rPr>
                  </w:pPr>
                  <w:r>
                    <w:rPr>
                      <w:rFonts w:hint="cs"/>
                      <w:rtl/>
                    </w:rPr>
                    <w:t>סדרי דיון</w:t>
                  </w:r>
                </w:p>
              </w:txbxContent>
            </v:textbox>
            <w10:anchorlock/>
          </v:shape>
        </w:pict>
      </w:r>
      <w:r>
        <w:rPr>
          <w:rStyle w:val="default"/>
          <w:rFonts w:cs="Miriam" w:hint="cs"/>
          <w:sz w:val="32"/>
          <w:szCs w:val="32"/>
          <w:rtl/>
        </w:rPr>
        <w:t>19</w:t>
      </w:r>
      <w:r>
        <w:rPr>
          <w:rStyle w:val="default"/>
          <w:rFonts w:cs="FrankRuehl" w:hint="cs"/>
          <w:rtl/>
        </w:rPr>
        <w:t>.</w:t>
      </w:r>
      <w:r>
        <w:rPr>
          <w:rStyle w:val="default"/>
          <w:rFonts w:cs="FrankRuehl" w:hint="cs"/>
          <w:rtl/>
        </w:rPr>
        <w:tab/>
        <w:t>(א)</w:t>
      </w:r>
      <w:r>
        <w:rPr>
          <w:rStyle w:val="default"/>
          <w:rFonts w:cs="FrankRuehl" w:hint="cs"/>
          <w:rtl/>
        </w:rPr>
        <w:tab/>
        <w:t>הדיון בהשגה ייפתח בדבריו של עובד השירות, אשר יציג את הנתונים שהתקבלו אודות המשיג וכן את הטעמים לקביעת אי ההתאמה הביטחונית, ובהמשך בדברי הגורם המפנה, במידת הצורך.</w:t>
      </w:r>
    </w:p>
    <w:p w14:paraId="233FADC8"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לאחר הצגת הדברים בידי עובד השירות, יטען המשיג או בא כוחו; הועדה רשאית להציג שאלות לצדדים וכן להתיר לכל צד להציג לצד השני שאלות הבהרה.</w:t>
      </w:r>
    </w:p>
    <w:p w14:paraId="5CFA8761" w14:textId="77777777" w:rsidR="00207778" w:rsidRDefault="0020777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הועדה תדון בהשגה על פי העובדות והטענות שהוצגו לפניה על ידי הצדדים בכתב ובעל פה.</w:t>
      </w:r>
    </w:p>
    <w:p w14:paraId="12287726" w14:textId="77777777" w:rsidR="00207778" w:rsidRDefault="0020777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ראתה הועדה שהדבר דרוש לשם הכרעה בהשגה, רשאית היא, מיוזמתה או לבקשת צד, ולאחר שנתנה לצד השני הזדמנות להגיב, להורות על הגשת תצהיר, חקירת מי מהצדדים בשאלות שבעובדה, השמעת עד או הצגת מסמכים או כל חומר אחר לעיונה.</w:t>
      </w:r>
    </w:p>
    <w:p w14:paraId="356F974A" w14:textId="77777777" w:rsidR="00207778" w:rsidRDefault="0020777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יושב ראש הועדה, או מי שהוא קבע לצורך זה, יערוך רישום של עיקרי הדברים שבדיון ויאשרם בחתימת ידו; רישום המתייחס לדיון כאמור בתקנה 21(ב) לא יימסר למשיג או לבא כוחו.</w:t>
      </w:r>
    </w:p>
    <w:p w14:paraId="150BCB5A" w14:textId="77777777" w:rsidR="00207778" w:rsidRDefault="0020777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יושב ראש הועדה ינהל את דיוני הועדה ויקבע את סדרי עבודתה ודיוניה, בכפוף להוראות החוק ותקנות אלה.</w:t>
      </w:r>
    </w:p>
    <w:p w14:paraId="0084EA88" w14:textId="77777777" w:rsidR="00207778" w:rsidRDefault="00207778">
      <w:pPr>
        <w:pStyle w:val="P00"/>
        <w:spacing w:before="72"/>
        <w:ind w:left="0" w:right="1134"/>
        <w:rPr>
          <w:rStyle w:val="default"/>
          <w:rFonts w:cs="FrankRuehl" w:hint="cs"/>
          <w:rtl/>
        </w:rPr>
      </w:pPr>
      <w:bookmarkStart w:id="21" w:name="Seif19"/>
      <w:bookmarkEnd w:id="21"/>
      <w:r>
        <w:rPr>
          <w:rFonts w:cs="Miriam"/>
          <w:szCs w:val="32"/>
          <w:rtl/>
          <w:lang w:val="he-IL"/>
        </w:rPr>
        <w:pict w14:anchorId="138199B2">
          <v:shape id="_x0000_s1117" type="#_x0000_t202" style="position:absolute;left:0;text-align:left;margin-left:470.25pt;margin-top:2.2pt;width:1in;height:16.8pt;z-index:251662848" filled="f" stroked="f">
            <v:textbox inset="1mm,,1mm">
              <w:txbxContent>
                <w:p w14:paraId="64CD25FE" w14:textId="77777777" w:rsidR="00207778" w:rsidRDefault="00207778">
                  <w:pPr>
                    <w:pStyle w:val="3"/>
                    <w:rPr>
                      <w:rFonts w:hint="cs"/>
                      <w:rtl/>
                    </w:rPr>
                  </w:pPr>
                  <w:r>
                    <w:rPr>
                      <w:rFonts w:hint="cs"/>
                      <w:rtl/>
                    </w:rPr>
                    <w:t>סודיות</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t>(א)</w:t>
      </w:r>
      <w:r>
        <w:rPr>
          <w:rStyle w:val="default"/>
          <w:rFonts w:cs="FrankRuehl" w:hint="cs"/>
          <w:rtl/>
        </w:rPr>
        <w:tab/>
        <w:t>דיוני הועדה יתקיימו בדלתיים סגורות.</w:t>
      </w:r>
    </w:p>
    <w:p w14:paraId="062604AE"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דיוני הועדה יהיו חסויים ופרסומם או גילוים של דברים שנאמרו או שנמסרו בהם אסור, אלא אם כן החליטה הועדה אחרת, לאחר שמיעת עמדות הצדדים.</w:t>
      </w:r>
    </w:p>
    <w:p w14:paraId="7B8E2D33" w14:textId="77777777" w:rsidR="00207778" w:rsidRDefault="00207778">
      <w:pPr>
        <w:pStyle w:val="P00"/>
        <w:spacing w:before="72"/>
        <w:ind w:left="0" w:right="1134"/>
        <w:rPr>
          <w:rStyle w:val="default"/>
          <w:rFonts w:cs="FrankRuehl" w:hint="cs"/>
          <w:rtl/>
        </w:rPr>
      </w:pPr>
      <w:bookmarkStart w:id="22" w:name="Seif20"/>
      <w:bookmarkEnd w:id="22"/>
      <w:r>
        <w:rPr>
          <w:rFonts w:cs="Miriam"/>
          <w:szCs w:val="32"/>
          <w:rtl/>
          <w:lang w:val="he-IL"/>
        </w:rPr>
        <w:pict w14:anchorId="6DF1F044">
          <v:shape id="_x0000_s1118" type="#_x0000_t202" style="position:absolute;left:0;text-align:left;margin-left:470.25pt;margin-top:3.1pt;width:1in;height:16.8pt;z-index:251663872" filled="f" stroked="f">
            <v:textbox inset="1mm,,1mm">
              <w:txbxContent>
                <w:p w14:paraId="43ABAB4C" w14:textId="77777777" w:rsidR="00207778" w:rsidRDefault="00207778">
                  <w:pPr>
                    <w:pStyle w:val="3"/>
                    <w:rPr>
                      <w:rFonts w:hint="cs"/>
                      <w:rtl/>
                    </w:rPr>
                  </w:pPr>
                  <w:r>
                    <w:rPr>
                      <w:rFonts w:hint="cs"/>
                      <w:rtl/>
                    </w:rPr>
                    <w:t>ראיות</w:t>
                  </w:r>
                </w:p>
              </w:txbxContent>
            </v:textbox>
            <w10:anchorlock/>
          </v:shape>
        </w:pict>
      </w:r>
      <w:r>
        <w:rPr>
          <w:rStyle w:val="default"/>
          <w:rFonts w:cs="Miriam" w:hint="cs"/>
          <w:sz w:val="32"/>
          <w:szCs w:val="32"/>
          <w:rtl/>
        </w:rPr>
        <w:t>21</w:t>
      </w:r>
      <w:r>
        <w:rPr>
          <w:rStyle w:val="default"/>
          <w:rFonts w:cs="FrankRuehl" w:hint="cs"/>
          <w:rtl/>
        </w:rPr>
        <w:t>.</w:t>
      </w:r>
      <w:r>
        <w:rPr>
          <w:rStyle w:val="default"/>
          <w:rFonts w:cs="FrankRuehl" w:hint="cs"/>
          <w:rtl/>
        </w:rPr>
        <w:tab/>
        <w:t>(א)</w:t>
      </w:r>
      <w:r>
        <w:rPr>
          <w:rStyle w:val="default"/>
          <w:rFonts w:cs="FrankRuehl" w:hint="cs"/>
          <w:rtl/>
        </w:rPr>
        <w:tab/>
        <w:t>הועדה אינה כפופה לדיני הראיות, והיא רשאית לקבל כל ראיה ולקבוע את דרך הצגתה, בכל דרך הנראית לה מועילה.</w:t>
      </w:r>
    </w:p>
    <w:p w14:paraId="1868E663"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ראתה הועדה כי הדבר דרוש מטעמים של שמירה על ביטחון המדינה או שלום הציבור או מטעמים של הגנה על זהותם של מקורות מידע או מטעמים של הגנה על דרכי השגת מידע או מטעמים הנוגעים לבריאותו הנפשית או הפיסית של המשיג, תתיר הועדה למשיב ולגורם המפנה להשמיע טענות ולהביא ראיות שלא במעמד המשיג ובא כוחו.</w:t>
      </w:r>
    </w:p>
    <w:p w14:paraId="0B5B2AED" w14:textId="77777777" w:rsidR="00207778" w:rsidRDefault="00207778">
      <w:pPr>
        <w:pStyle w:val="P00"/>
        <w:spacing w:before="72"/>
        <w:ind w:left="0" w:right="1134"/>
        <w:rPr>
          <w:rStyle w:val="default"/>
          <w:rFonts w:cs="FrankRuehl" w:hint="cs"/>
          <w:rtl/>
        </w:rPr>
      </w:pPr>
      <w:bookmarkStart w:id="23" w:name="Seif21"/>
      <w:bookmarkEnd w:id="23"/>
      <w:r>
        <w:rPr>
          <w:rFonts w:cs="Miriam"/>
          <w:szCs w:val="32"/>
          <w:rtl/>
          <w:lang w:val="he-IL"/>
        </w:rPr>
        <w:pict w14:anchorId="759B6027">
          <v:shape id="_x0000_s1119" type="#_x0000_t202" style="position:absolute;left:0;text-align:left;margin-left:470.25pt;margin-top:4.15pt;width:1in;height:16.8pt;z-index:251664896" filled="f" stroked="f">
            <v:textbox inset="1mm,,1mm">
              <w:txbxContent>
                <w:p w14:paraId="7F2AE325" w14:textId="77777777" w:rsidR="00207778" w:rsidRDefault="00207778">
                  <w:pPr>
                    <w:pStyle w:val="3"/>
                    <w:rPr>
                      <w:rFonts w:hint="cs"/>
                      <w:rtl/>
                    </w:rPr>
                  </w:pPr>
                  <w:r>
                    <w:rPr>
                      <w:rFonts w:hint="cs"/>
                      <w:rtl/>
                    </w:rPr>
                    <w:t>מחיקת ההשגה</w:t>
                  </w:r>
                </w:p>
              </w:txbxContent>
            </v:textbox>
            <w10:anchorlock/>
          </v:shape>
        </w:pict>
      </w:r>
      <w:r>
        <w:rPr>
          <w:rStyle w:val="default"/>
          <w:rFonts w:cs="Miriam" w:hint="cs"/>
          <w:sz w:val="32"/>
          <w:szCs w:val="32"/>
          <w:rtl/>
        </w:rPr>
        <w:t>22</w:t>
      </w:r>
      <w:r>
        <w:rPr>
          <w:rStyle w:val="default"/>
          <w:rFonts w:cs="FrankRuehl" w:hint="cs"/>
          <w:rtl/>
        </w:rPr>
        <w:t>.</w:t>
      </w:r>
      <w:r>
        <w:rPr>
          <w:rStyle w:val="default"/>
          <w:rFonts w:cs="FrankRuehl" w:hint="cs"/>
          <w:rtl/>
        </w:rPr>
        <w:tab/>
        <w:t xml:space="preserve">הועדה רשאית למחוק את ההשגה אם המשיג, בלא הצדק סביר, לא הופיע לפניה במועד שנקבע לדיון, וזאת לאחר שנתנה לו הזדמנות למסור את תגובתו לענין זה; שוכנעה הועדה כי התקיימו נסיבות מיוחדות שבעטיין לא הופיע המשיג לפניה במועד וכן לא מסר את תגובתו כאמור </w:t>
      </w:r>
      <w:r>
        <w:rPr>
          <w:rStyle w:val="default"/>
          <w:rFonts w:cs="FrankRuehl"/>
          <w:rtl/>
        </w:rPr>
        <w:t>–</w:t>
      </w:r>
      <w:r>
        <w:rPr>
          <w:rStyle w:val="default"/>
          <w:rFonts w:cs="FrankRuehl" w:hint="cs"/>
          <w:rtl/>
        </w:rPr>
        <w:t xml:space="preserve"> רשאית היא להורות על שמיעת ההשגה.</w:t>
      </w:r>
    </w:p>
    <w:p w14:paraId="438A7A19" w14:textId="77777777" w:rsidR="00207778" w:rsidRDefault="00207778">
      <w:pPr>
        <w:pStyle w:val="P00"/>
        <w:spacing w:before="72"/>
        <w:ind w:left="0" w:right="1134"/>
        <w:rPr>
          <w:rStyle w:val="default"/>
          <w:rFonts w:cs="FrankRuehl" w:hint="cs"/>
          <w:rtl/>
        </w:rPr>
      </w:pPr>
      <w:bookmarkStart w:id="24" w:name="Seif22"/>
      <w:bookmarkEnd w:id="24"/>
      <w:r>
        <w:rPr>
          <w:rFonts w:cs="Miriam"/>
          <w:szCs w:val="32"/>
          <w:rtl/>
          <w:lang w:val="he-IL"/>
        </w:rPr>
        <w:pict w14:anchorId="64C4B752">
          <v:shape id="_x0000_s1120" type="#_x0000_t202" style="position:absolute;left:0;text-align:left;margin-left:470.25pt;margin-top:6.85pt;width:1in;height:16.8pt;z-index:251665920" filled="f" stroked="f">
            <v:textbox inset="1mm,,1mm">
              <w:txbxContent>
                <w:p w14:paraId="110962CB" w14:textId="77777777" w:rsidR="00207778" w:rsidRDefault="00207778">
                  <w:pPr>
                    <w:pStyle w:val="3"/>
                    <w:rPr>
                      <w:rFonts w:hint="cs"/>
                      <w:rtl/>
                    </w:rPr>
                  </w:pPr>
                  <w:r>
                    <w:rPr>
                      <w:rFonts w:hint="cs"/>
                      <w:rtl/>
                    </w:rPr>
                    <w:t>סמכויות הועדה</w:t>
                  </w:r>
                </w:p>
              </w:txbxContent>
            </v:textbox>
            <w10:anchorlock/>
          </v:shape>
        </w:pict>
      </w:r>
      <w:r>
        <w:rPr>
          <w:rStyle w:val="default"/>
          <w:rFonts w:cs="Miriam" w:hint="cs"/>
          <w:sz w:val="32"/>
          <w:szCs w:val="32"/>
          <w:rtl/>
        </w:rPr>
        <w:t>23</w:t>
      </w:r>
      <w:r>
        <w:rPr>
          <w:rStyle w:val="default"/>
          <w:rFonts w:cs="FrankRuehl" w:hint="cs"/>
          <w:rtl/>
        </w:rPr>
        <w:t>.</w:t>
      </w:r>
      <w:r>
        <w:rPr>
          <w:rStyle w:val="default"/>
          <w:rFonts w:cs="FrankRuehl" w:hint="cs"/>
          <w:rtl/>
        </w:rPr>
        <w:tab/>
        <w:t>(א)</w:t>
      </w:r>
      <w:r>
        <w:rPr>
          <w:rStyle w:val="default"/>
          <w:rFonts w:cs="FrankRuehl" w:hint="cs"/>
          <w:rtl/>
        </w:rPr>
        <w:tab/>
        <w:t>הועדה מוסמכת לדחות את ההשגה או לקבלה, כולה, מקצתה או בשינויים, או להחזיר את הענין עם הוראות למשיב.</w:t>
      </w:r>
    </w:p>
    <w:p w14:paraId="327AED2C"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הועדה אינה מוסמכת לדון ולהחליט בכל הנוגע לסיווג המשרות, כאמור בתקנה 4.</w:t>
      </w:r>
    </w:p>
    <w:p w14:paraId="30E96D87" w14:textId="77777777" w:rsidR="00207778" w:rsidRDefault="0020777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בדונה בהשגה יהיו לנגד עיני הועדה זכויות היסוד של המשיג לכבוד האדם ולחופש העיסוק, בצד שיקולי הביטחון.</w:t>
      </w:r>
    </w:p>
    <w:p w14:paraId="061BA4E5" w14:textId="77777777" w:rsidR="00207778" w:rsidRDefault="00207778">
      <w:pPr>
        <w:pStyle w:val="P00"/>
        <w:spacing w:before="72"/>
        <w:ind w:left="0" w:right="1134"/>
        <w:rPr>
          <w:rStyle w:val="default"/>
          <w:rFonts w:cs="FrankRuehl" w:hint="cs"/>
          <w:rtl/>
        </w:rPr>
      </w:pPr>
      <w:bookmarkStart w:id="25" w:name="Seif23"/>
      <w:bookmarkEnd w:id="25"/>
      <w:r>
        <w:rPr>
          <w:rFonts w:cs="Miriam"/>
          <w:szCs w:val="32"/>
          <w:rtl/>
          <w:lang w:val="he-IL"/>
        </w:rPr>
        <w:pict w14:anchorId="69B9A811">
          <v:shape id="_x0000_s1121" type="#_x0000_t202" style="position:absolute;left:0;text-align:left;margin-left:470.25pt;margin-top:6.1pt;width:1in;height:16.8pt;z-index:251666944" filled="f" stroked="f">
            <v:textbox inset="1mm,,1mm">
              <w:txbxContent>
                <w:p w14:paraId="4B623944" w14:textId="77777777" w:rsidR="00207778" w:rsidRDefault="00207778">
                  <w:pPr>
                    <w:pStyle w:val="3"/>
                    <w:rPr>
                      <w:rFonts w:hint="cs"/>
                      <w:rtl/>
                    </w:rPr>
                  </w:pPr>
                  <w:r>
                    <w:rPr>
                      <w:rFonts w:hint="cs"/>
                      <w:rtl/>
                    </w:rPr>
                    <w:t>החלטה</w:t>
                  </w:r>
                </w:p>
              </w:txbxContent>
            </v:textbox>
            <w10:anchorlock/>
          </v:shape>
        </w:pict>
      </w:r>
      <w:r>
        <w:rPr>
          <w:rStyle w:val="default"/>
          <w:rFonts w:cs="Miriam" w:hint="cs"/>
          <w:sz w:val="32"/>
          <w:szCs w:val="32"/>
          <w:rtl/>
        </w:rPr>
        <w:t>24</w:t>
      </w:r>
      <w:r>
        <w:rPr>
          <w:rStyle w:val="default"/>
          <w:rFonts w:cs="FrankRuehl" w:hint="cs"/>
          <w:rtl/>
        </w:rPr>
        <w:t>.</w:t>
      </w:r>
      <w:r>
        <w:rPr>
          <w:rStyle w:val="default"/>
          <w:rFonts w:cs="FrankRuehl" w:hint="cs"/>
          <w:rtl/>
        </w:rPr>
        <w:tab/>
        <w:t>(א)</w:t>
      </w:r>
      <w:r>
        <w:rPr>
          <w:rStyle w:val="default"/>
          <w:rFonts w:cs="FrankRuehl" w:hint="cs"/>
          <w:rtl/>
        </w:rPr>
        <w:tab/>
        <w:t>בתום הדיון או בסמוך לאחריו, ולא יאוחר מאשר בתוך שבעה ימים, תיתן הועדה את החלטתה בהשגה; החלטת הועדה תהיה מנומקת ואולם הועדה רשאית ליתן את נימוקי ההחלטה במועד מאוחר יותר, ולא יאוחר מאשר בתוך 14 ימים ממועד מתן ההחלטה.</w:t>
      </w:r>
    </w:p>
    <w:p w14:paraId="6D91984A"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החלטת הועדה תתקבל ברוב דעות; הועדה תמסור למשיג ולמשיב עותקים מההחלטה, חתומים בידי יושב הראש ובידי שאר חברי הועדה.</w:t>
      </w:r>
    </w:p>
    <w:p w14:paraId="058C4A72" w14:textId="77777777" w:rsidR="00207778" w:rsidRDefault="0020777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הועדה תהיה רשאית לקבוע הוראות בדבר פרסום ההחלטה, כולה או חלקה, לאחר שתקבל את התייחסות הצדדים לענין זה.</w:t>
      </w:r>
    </w:p>
    <w:p w14:paraId="721098C1" w14:textId="77777777" w:rsidR="00207778" w:rsidRDefault="00207778">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ה': הוראות כלליות</w:t>
      </w:r>
    </w:p>
    <w:p w14:paraId="01C11DCD" w14:textId="77777777" w:rsidR="00207778" w:rsidRDefault="00207778">
      <w:pPr>
        <w:pStyle w:val="P00"/>
        <w:spacing w:before="72"/>
        <w:ind w:left="0" w:right="1134"/>
        <w:rPr>
          <w:rStyle w:val="default"/>
          <w:rFonts w:cs="FrankRuehl" w:hint="cs"/>
          <w:rtl/>
        </w:rPr>
      </w:pPr>
      <w:bookmarkStart w:id="26" w:name="Seif24"/>
      <w:bookmarkEnd w:id="26"/>
      <w:r>
        <w:rPr>
          <w:rFonts w:cs="Miriam"/>
          <w:szCs w:val="32"/>
          <w:rtl/>
          <w:lang w:val="he-IL"/>
        </w:rPr>
        <w:pict w14:anchorId="127187DE">
          <v:shape id="_x0000_s1122" type="#_x0000_t202" style="position:absolute;left:0;text-align:left;margin-left:470.25pt;margin-top:2.05pt;width:1in;height:16.8pt;z-index:251667968" filled="f" stroked="f">
            <v:textbox inset="1mm,,1mm">
              <w:txbxContent>
                <w:p w14:paraId="1C4C4559" w14:textId="77777777" w:rsidR="00207778" w:rsidRDefault="00207778">
                  <w:pPr>
                    <w:pStyle w:val="3"/>
                    <w:rPr>
                      <w:rFonts w:hint="cs"/>
                      <w:rtl/>
                    </w:rPr>
                  </w:pPr>
                  <w:r>
                    <w:rPr>
                      <w:rFonts w:hint="cs"/>
                      <w:rtl/>
                    </w:rPr>
                    <w:t>עיון חוזר</w:t>
                  </w:r>
                </w:p>
              </w:txbxContent>
            </v:textbox>
            <w10:anchorlock/>
          </v:shape>
        </w:pict>
      </w:r>
      <w:r>
        <w:rPr>
          <w:rStyle w:val="default"/>
          <w:rFonts w:cs="Miriam" w:hint="cs"/>
          <w:sz w:val="32"/>
          <w:szCs w:val="32"/>
          <w:rtl/>
        </w:rPr>
        <w:t>25</w:t>
      </w:r>
      <w:r>
        <w:rPr>
          <w:rStyle w:val="default"/>
          <w:rFonts w:cs="FrankRuehl" w:hint="cs"/>
          <w:rtl/>
        </w:rPr>
        <w:t>.</w:t>
      </w:r>
      <w:r>
        <w:rPr>
          <w:rStyle w:val="default"/>
          <w:rFonts w:cs="FrankRuehl" w:hint="cs"/>
          <w:rtl/>
        </w:rPr>
        <w:tab/>
        <w:t>(א)</w:t>
      </w:r>
      <w:r>
        <w:rPr>
          <w:rStyle w:val="default"/>
          <w:rFonts w:cs="FrankRuehl" w:hint="cs"/>
          <w:rtl/>
        </w:rPr>
        <w:tab/>
        <w:t>על אף האמור בתקנה 7(3), מי שניתנה לגביו החלטה בדבר אי התאמה ביטחונית, ונתגלו עובדות חדשות או נשתנו הנסיבות בנוגע להנמקה לקביעת אי ההתאמה הביטחונית לאחר מתן ההחלטה בענינו, יהיה רשאי לפנות לגורם שמסר לו את ההודעה בבקשה לעיון חוזר בהחלטה.</w:t>
      </w:r>
    </w:p>
    <w:p w14:paraId="68A0F459" w14:textId="77777777" w:rsidR="00207778" w:rsidRDefault="002077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לעיון חוזר תוגש בכתב, תפרט את נימוקי הבקשה ויצורפו לה מסמכים לתמיכה בבקשה, אם ישנם, וכן העתקים של החלטות שניתנו בענין.</w:t>
      </w:r>
    </w:p>
    <w:p w14:paraId="01CAE0FE" w14:textId="77777777" w:rsidR="00207778" w:rsidRDefault="0020777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ההחלטה בעיון החוזר יחולו, בשינויים המחויבים, הוראות תקנות אלה בדבר החלטה על אי התאמה ביטחונית, לרבות הזכות להשיג על ההחלטה לפני הועדה.</w:t>
      </w:r>
    </w:p>
    <w:p w14:paraId="5F260E8B" w14:textId="77777777" w:rsidR="00207778" w:rsidRDefault="00207778">
      <w:pPr>
        <w:pStyle w:val="P00"/>
        <w:spacing w:before="72"/>
        <w:ind w:left="0" w:right="1134"/>
        <w:rPr>
          <w:rStyle w:val="default"/>
          <w:rFonts w:cs="FrankRuehl" w:hint="cs"/>
          <w:rtl/>
        </w:rPr>
      </w:pPr>
      <w:bookmarkStart w:id="27" w:name="Seif25"/>
      <w:bookmarkEnd w:id="27"/>
      <w:r>
        <w:rPr>
          <w:rFonts w:cs="Miriam"/>
          <w:szCs w:val="32"/>
          <w:rtl/>
          <w:lang w:val="he-IL"/>
        </w:rPr>
        <w:pict w14:anchorId="28761482">
          <v:shape id="_x0000_s1123" type="#_x0000_t202" style="position:absolute;left:0;text-align:left;margin-left:470.25pt;margin-top:1.55pt;width:1in;height:16.8pt;z-index:251668992" filled="f" stroked="f">
            <v:textbox inset="1mm,,1mm">
              <w:txbxContent>
                <w:p w14:paraId="5420597B" w14:textId="77777777" w:rsidR="00207778" w:rsidRDefault="00207778">
                  <w:pPr>
                    <w:pStyle w:val="3"/>
                    <w:rPr>
                      <w:rFonts w:hint="cs"/>
                      <w:rtl/>
                    </w:rPr>
                  </w:pPr>
                  <w:r>
                    <w:rPr>
                      <w:rFonts w:hint="cs"/>
                      <w:rtl/>
                    </w:rPr>
                    <w:t>תחולה</w:t>
                  </w:r>
                </w:p>
              </w:txbxContent>
            </v:textbox>
            <w10:anchorlock/>
          </v:shape>
        </w:pict>
      </w:r>
      <w:r>
        <w:rPr>
          <w:rStyle w:val="default"/>
          <w:rFonts w:cs="Miriam" w:hint="cs"/>
          <w:sz w:val="32"/>
          <w:szCs w:val="32"/>
          <w:rtl/>
        </w:rPr>
        <w:t>26</w:t>
      </w:r>
      <w:r>
        <w:rPr>
          <w:rStyle w:val="default"/>
          <w:rFonts w:cs="FrankRuehl" w:hint="cs"/>
          <w:rtl/>
        </w:rPr>
        <w:t>.</w:t>
      </w:r>
      <w:r>
        <w:rPr>
          <w:rStyle w:val="default"/>
          <w:rFonts w:cs="FrankRuehl" w:hint="cs"/>
          <w:rtl/>
        </w:rPr>
        <w:tab/>
        <w:t>תקנות אלה יחולו על החלטה בדבר אי התאמה ביטחונית, שהתקבלה לאחר תחילתן.</w:t>
      </w:r>
    </w:p>
    <w:p w14:paraId="5208D306" w14:textId="77777777" w:rsidR="00207778" w:rsidRDefault="00207778">
      <w:pPr>
        <w:pStyle w:val="P00"/>
        <w:spacing w:before="72"/>
        <w:ind w:left="0" w:right="1134"/>
        <w:rPr>
          <w:rStyle w:val="default"/>
          <w:rFonts w:cs="FrankRuehl" w:hint="cs"/>
          <w:rtl/>
        </w:rPr>
      </w:pPr>
    </w:p>
    <w:p w14:paraId="37946692" w14:textId="77777777" w:rsidR="00207778" w:rsidRDefault="00207778">
      <w:pPr>
        <w:pStyle w:val="P00"/>
        <w:spacing w:before="72"/>
        <w:ind w:left="0" w:right="1134"/>
        <w:rPr>
          <w:rStyle w:val="default"/>
          <w:rFonts w:cs="FrankRuehl" w:hint="cs"/>
          <w:rtl/>
        </w:rPr>
      </w:pPr>
    </w:p>
    <w:p w14:paraId="532FBD43" w14:textId="77777777" w:rsidR="00207778" w:rsidRDefault="0020777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י' בשבט התשס"ג (13 בינואר 2003)</w:t>
      </w:r>
      <w:r>
        <w:rPr>
          <w:rStyle w:val="default"/>
          <w:rFonts w:cs="FrankRuehl" w:hint="cs"/>
          <w:rtl/>
        </w:rPr>
        <w:tab/>
        <w:t>אריאל שרון</w:t>
      </w:r>
    </w:p>
    <w:p w14:paraId="697CA574" w14:textId="77777777" w:rsidR="00207778" w:rsidRDefault="0020777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ראש הממשלה</w:t>
      </w:r>
    </w:p>
    <w:sectPr w:rsidR="0020777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4FBEC" w14:textId="77777777" w:rsidR="004879D7" w:rsidRDefault="004879D7">
      <w:r>
        <w:separator/>
      </w:r>
    </w:p>
  </w:endnote>
  <w:endnote w:type="continuationSeparator" w:id="0">
    <w:p w14:paraId="4CCA0531" w14:textId="77777777" w:rsidR="004879D7" w:rsidRDefault="0048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3262" w14:textId="77777777" w:rsidR="00207778" w:rsidRDefault="002077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6E9BADC" w14:textId="77777777" w:rsidR="00207778" w:rsidRDefault="002077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B25AEC" w14:textId="77777777" w:rsidR="00207778" w:rsidRDefault="002077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G:\Nevo\InAsc\999_097.doc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08E1" w14:textId="77777777" w:rsidR="00207778" w:rsidRDefault="002077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275FA">
      <w:rPr>
        <w:rFonts w:hAnsi="FrankRuehl" w:cs="FrankRuehl"/>
        <w:noProof/>
        <w:sz w:val="24"/>
        <w:szCs w:val="24"/>
        <w:rtl/>
      </w:rPr>
      <w:t>3</w:t>
    </w:r>
    <w:r>
      <w:rPr>
        <w:rFonts w:hAnsi="FrankRuehl" w:cs="FrankRuehl"/>
        <w:sz w:val="24"/>
        <w:szCs w:val="24"/>
        <w:rtl/>
      </w:rPr>
      <w:fldChar w:fldCharType="end"/>
    </w:r>
  </w:p>
  <w:p w14:paraId="2B258E7C" w14:textId="77777777" w:rsidR="00207778" w:rsidRDefault="002077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AD7F05B" w14:textId="77777777" w:rsidR="00207778" w:rsidRDefault="002077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G:\Nevo\InAsc\999_097.doc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D964B" w14:textId="77777777" w:rsidR="004879D7" w:rsidRDefault="004879D7">
      <w:r>
        <w:separator/>
      </w:r>
    </w:p>
  </w:footnote>
  <w:footnote w:type="continuationSeparator" w:id="0">
    <w:p w14:paraId="6374FA44" w14:textId="77777777" w:rsidR="004879D7" w:rsidRDefault="004879D7">
      <w:r>
        <w:continuationSeparator/>
      </w:r>
    </w:p>
  </w:footnote>
  <w:footnote w:id="1">
    <w:p w14:paraId="03A1D47B" w14:textId="77777777" w:rsidR="00207778" w:rsidRDefault="002077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D67C9F">
          <w:rPr>
            <w:rStyle w:val="Hyperlink"/>
            <w:rFonts w:hint="cs"/>
            <w:sz w:val="20"/>
            <w:rtl/>
          </w:rPr>
          <w:t>ק"ת תשס"ג מס' 6223</w:t>
        </w:r>
      </w:hyperlink>
      <w:r>
        <w:rPr>
          <w:rFonts w:hint="cs"/>
          <w:sz w:val="20"/>
          <w:rtl/>
        </w:rPr>
        <w:t xml:space="preserve"> מיום 30.1.2003 עמ' 462.</w:t>
      </w:r>
    </w:p>
    <w:p w14:paraId="72611DEA" w14:textId="77777777" w:rsidR="0039144A" w:rsidRDefault="00F7016D" w:rsidP="003914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39144A">
          <w:rPr>
            <w:rStyle w:val="Hyperlink"/>
            <w:rFonts w:hint="cs"/>
            <w:sz w:val="20"/>
            <w:rtl/>
          </w:rPr>
          <w:t>ק"ת תשע"ט מס' 8164</w:t>
        </w:r>
      </w:hyperlink>
      <w:r>
        <w:rPr>
          <w:rFonts w:hint="cs"/>
          <w:sz w:val="20"/>
          <w:rtl/>
        </w:rPr>
        <w:t xml:space="preserve"> מיום 5.2.2019 עמ' 2090 </w:t>
      </w:r>
      <w:r>
        <w:rPr>
          <w:sz w:val="20"/>
          <w:rtl/>
        </w:rPr>
        <w:t>–</w:t>
      </w:r>
      <w:r>
        <w:rPr>
          <w:rFonts w:hint="cs"/>
          <w:sz w:val="20"/>
          <w:rtl/>
        </w:rPr>
        <w:t xml:space="preserve"> תק' תשע"ט-2019.</w:t>
      </w:r>
    </w:p>
  </w:footnote>
  <w:footnote w:id="2">
    <w:p w14:paraId="12C592CC" w14:textId="77777777" w:rsidR="00F7016D" w:rsidRDefault="00F7016D" w:rsidP="00F7016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3" w:history="1">
        <w:r w:rsidRPr="00D67C9F">
          <w:rPr>
            <w:rStyle w:val="Hyperlink"/>
            <w:rFonts w:hint="cs"/>
            <w:sz w:val="20"/>
            <w:rtl/>
          </w:rPr>
          <w:t>ק"ת תשס"ג מס' 6223</w:t>
        </w:r>
      </w:hyperlink>
      <w:r>
        <w:rPr>
          <w:rFonts w:hint="cs"/>
          <w:sz w:val="20"/>
          <w:rtl/>
        </w:rPr>
        <w:t xml:space="preserve"> מיום 30.1.2003 עמ' 462.</w:t>
      </w:r>
    </w:p>
    <w:p w14:paraId="409D4818" w14:textId="77777777" w:rsidR="00F7016D" w:rsidRDefault="00F7016D" w:rsidP="00F7016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4" w:history="1">
        <w:r w:rsidRPr="00121433">
          <w:rPr>
            <w:rStyle w:val="Hyperlink"/>
            <w:rFonts w:hint="cs"/>
            <w:sz w:val="20"/>
            <w:rtl/>
          </w:rPr>
          <w:t>ק"ת תשע"ט מס' 8164</w:t>
        </w:r>
      </w:hyperlink>
      <w:r>
        <w:rPr>
          <w:rFonts w:hint="cs"/>
          <w:sz w:val="20"/>
          <w:rtl/>
        </w:rPr>
        <w:t xml:space="preserve"> מיום 5.2.2019 עמ' 2090 </w:t>
      </w:r>
      <w:r>
        <w:rPr>
          <w:sz w:val="20"/>
          <w:rtl/>
        </w:rPr>
        <w:t>–</w:t>
      </w:r>
      <w:r>
        <w:rPr>
          <w:rFonts w:hint="cs"/>
          <w:sz w:val="20"/>
          <w:rtl/>
        </w:rPr>
        <w:t xml:space="preserve"> תק' תשע"ט-2019.</w:t>
      </w:r>
    </w:p>
    <w:p w14:paraId="6CE38C18" w14:textId="77777777" w:rsidR="00D275FA" w:rsidRDefault="00D275FA" w:rsidP="00D275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121433" w:rsidRPr="00D275FA">
          <w:rPr>
            <w:rStyle w:val="Hyperlink"/>
            <w:rFonts w:hint="cs"/>
            <w:sz w:val="20"/>
            <w:rtl/>
          </w:rPr>
          <w:t>ק"ת תשע"ט מס' 8175</w:t>
        </w:r>
      </w:hyperlink>
      <w:r w:rsidR="00121433">
        <w:rPr>
          <w:rFonts w:hint="cs"/>
          <w:sz w:val="20"/>
          <w:rtl/>
        </w:rPr>
        <w:t xml:space="preserve"> מיום 18.2.2019 עמ' 2294 </w:t>
      </w:r>
      <w:r w:rsidR="00121433">
        <w:rPr>
          <w:sz w:val="20"/>
          <w:rtl/>
        </w:rPr>
        <w:t>–</w:t>
      </w:r>
      <w:r w:rsidR="00121433">
        <w:rPr>
          <w:rFonts w:hint="cs"/>
          <w:sz w:val="20"/>
          <w:rtl/>
        </w:rPr>
        <w:t xml:space="preserve"> תק' (מס' 2) תשע"ט-2019.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2999" w14:textId="77777777" w:rsidR="00207778" w:rsidRDefault="0020777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3B8A9C89" w14:textId="77777777" w:rsidR="00207778" w:rsidRDefault="002077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A41853" w14:textId="77777777" w:rsidR="00207778" w:rsidRDefault="0020777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88EB9" w14:textId="77777777" w:rsidR="00207778" w:rsidRDefault="00207778">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שירות הביטחון הכללי (הודעה למעביד בדבר דרישות סיווג ביטחוני לעובדיו, הודעה לאדם בדבר אי התאמה ביטחונית וועדה השגה על קביעת אי התאמה ביטחונית), תשס"ג-2003</w:t>
    </w:r>
  </w:p>
  <w:p w14:paraId="6E382CA4" w14:textId="77777777" w:rsidR="00207778" w:rsidRDefault="002077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157CD2" w14:textId="77777777" w:rsidR="00207778" w:rsidRDefault="0020777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7C9F"/>
    <w:rsid w:val="0002463D"/>
    <w:rsid w:val="00087FEA"/>
    <w:rsid w:val="00121433"/>
    <w:rsid w:val="001E5524"/>
    <w:rsid w:val="00207778"/>
    <w:rsid w:val="002148AE"/>
    <w:rsid w:val="0039144A"/>
    <w:rsid w:val="004879D7"/>
    <w:rsid w:val="00650C64"/>
    <w:rsid w:val="00687B99"/>
    <w:rsid w:val="00A07C6A"/>
    <w:rsid w:val="00AF2238"/>
    <w:rsid w:val="00D275FA"/>
    <w:rsid w:val="00D67C9F"/>
    <w:rsid w:val="00E17E95"/>
    <w:rsid w:val="00EE4FAF"/>
    <w:rsid w:val="00F701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096BC475"/>
  <w15:chartTrackingRefBased/>
  <w15:docId w15:val="{69F16BE5-7C80-4E26-928A-0904170F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F70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175.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8175.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16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23.pdf" TargetMode="External"/><Relationship Id="rId2" Type="http://schemas.openxmlformats.org/officeDocument/2006/relationships/hyperlink" Target="http://www.nevo.co.il/Law_word/law06/tak-8164.pdf" TargetMode="External"/><Relationship Id="rId1" Type="http://schemas.openxmlformats.org/officeDocument/2006/relationships/hyperlink" Target="http://www.nevo.co.il/Law_word/law06/TAK-6223.pdf" TargetMode="External"/><Relationship Id="rId5" Type="http://schemas.openxmlformats.org/officeDocument/2006/relationships/hyperlink" Target="http://www.nevo.co.il/Law_word/law06/tak-8175.pdf" TargetMode="External"/><Relationship Id="rId4" Type="http://schemas.openxmlformats.org/officeDocument/2006/relationships/hyperlink" Target="http://www.nevo.co.il/Law_word/law06/tak-81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15123</CharactersWithSpaces>
  <SharedDoc>false</SharedDoc>
  <HLinks>
    <vt:vector size="204" baseType="variant">
      <vt:variant>
        <vt:i4>7733260</vt:i4>
      </vt:variant>
      <vt:variant>
        <vt:i4>162</vt:i4>
      </vt:variant>
      <vt:variant>
        <vt:i4>0</vt:i4>
      </vt:variant>
      <vt:variant>
        <vt:i4>5</vt:i4>
      </vt:variant>
      <vt:variant>
        <vt:lpwstr>http://www.nevo.co.il/Law_word/law06/tak-8175.pdf</vt:lpwstr>
      </vt:variant>
      <vt:variant>
        <vt:lpwstr/>
      </vt:variant>
      <vt:variant>
        <vt:i4>7733260</vt:i4>
      </vt:variant>
      <vt:variant>
        <vt:i4>159</vt:i4>
      </vt:variant>
      <vt:variant>
        <vt:i4>0</vt:i4>
      </vt:variant>
      <vt:variant>
        <vt:i4>5</vt:i4>
      </vt:variant>
      <vt:variant>
        <vt:lpwstr>http://www.nevo.co.il/Law_word/law06/tak-8175.pdf</vt:lpwstr>
      </vt:variant>
      <vt:variant>
        <vt:lpwstr/>
      </vt:variant>
      <vt:variant>
        <vt:i4>7798797</vt:i4>
      </vt:variant>
      <vt:variant>
        <vt:i4>156</vt:i4>
      </vt:variant>
      <vt:variant>
        <vt:i4>0</vt:i4>
      </vt:variant>
      <vt:variant>
        <vt:i4>5</vt:i4>
      </vt:variant>
      <vt:variant>
        <vt:lpwstr>http://www.nevo.co.il/Law_word/law06/tak-8164.pdf</vt:lpwstr>
      </vt:variant>
      <vt:variant>
        <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7733260</vt:i4>
      </vt:variant>
      <vt:variant>
        <vt:i4>12</vt:i4>
      </vt:variant>
      <vt:variant>
        <vt:i4>0</vt:i4>
      </vt:variant>
      <vt:variant>
        <vt:i4>5</vt:i4>
      </vt:variant>
      <vt:variant>
        <vt:lpwstr>http://www.nevo.co.il/Law_word/law06/tak-8175.pdf</vt:lpwstr>
      </vt:variant>
      <vt:variant>
        <vt:lpwstr/>
      </vt:variant>
      <vt:variant>
        <vt:i4>7798797</vt:i4>
      </vt:variant>
      <vt:variant>
        <vt:i4>9</vt:i4>
      </vt:variant>
      <vt:variant>
        <vt:i4>0</vt:i4>
      </vt:variant>
      <vt:variant>
        <vt:i4>5</vt:i4>
      </vt:variant>
      <vt:variant>
        <vt:lpwstr>http://www.nevo.co.il/Law_word/law06/tak-8164.pdf</vt:lpwstr>
      </vt:variant>
      <vt:variant>
        <vt:lpwstr/>
      </vt:variant>
      <vt:variant>
        <vt:i4>8192009</vt:i4>
      </vt:variant>
      <vt:variant>
        <vt:i4>6</vt:i4>
      </vt:variant>
      <vt:variant>
        <vt:i4>0</vt:i4>
      </vt:variant>
      <vt:variant>
        <vt:i4>5</vt:i4>
      </vt:variant>
      <vt:variant>
        <vt:lpwstr>http://www.nevo.co.il/Law_word/law06/TAK-6223.pdf</vt:lpwstr>
      </vt:variant>
      <vt:variant>
        <vt:lpwstr/>
      </vt:variant>
      <vt:variant>
        <vt:i4>7798797</vt:i4>
      </vt:variant>
      <vt:variant>
        <vt:i4>3</vt:i4>
      </vt:variant>
      <vt:variant>
        <vt:i4>0</vt:i4>
      </vt:variant>
      <vt:variant>
        <vt:i4>5</vt:i4>
      </vt:variant>
      <vt:variant>
        <vt:lpwstr>http://www.nevo.co.il/Law_word/law06/tak-8164.pdf</vt:lpwstr>
      </vt:variant>
      <vt:variant>
        <vt:lpwstr/>
      </vt:variant>
      <vt:variant>
        <vt:i4>8192009</vt:i4>
      </vt:variant>
      <vt:variant>
        <vt:i4>0</vt:i4>
      </vt:variant>
      <vt:variant>
        <vt:i4>0</vt:i4>
      </vt:variant>
      <vt:variant>
        <vt:i4>5</vt:i4>
      </vt:variant>
      <vt:variant>
        <vt:lpwstr>http://www.nevo.co.il/Law_word/law06/TAK-6223.pdf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שירות הביטחון הכללי (הודעה למעביד בדבר דרישות סיווג ביטחוני לעובדיו, הודעה לאדם בדבר אי התאמה ביטחונית וועדת השגה על קביעת אי התאמה ביטחונית), תשס"ג-2003</vt:lpwstr>
  </property>
  <property fmtid="{D5CDD505-2E9C-101B-9397-08002B2CF9AE}" pid="4" name="LAWNUMBER">
    <vt:lpwstr>0097</vt:lpwstr>
  </property>
  <property fmtid="{D5CDD505-2E9C-101B-9397-08002B2CF9AE}" pid="5" name="TYPE">
    <vt:lpwstr>01</vt:lpwstr>
  </property>
  <property fmtid="{D5CDD505-2E9C-101B-9397-08002B2CF9AE}" pid="6" name="NOSE11">
    <vt:lpwstr>בטחון</vt:lpwstr>
  </property>
  <property fmtid="{D5CDD505-2E9C-101B-9397-08002B2CF9AE}" pid="7" name="NOSE21">
    <vt:lpwstr>שירות הביטחון הכללי</vt:lpwstr>
  </property>
  <property fmtid="{D5CDD505-2E9C-101B-9397-08002B2CF9AE}" pid="8" name="NOSE31">
    <vt:lpwstr/>
  </property>
  <property fmtid="{D5CDD505-2E9C-101B-9397-08002B2CF9AE}" pid="9" name="NOSE41">
    <vt:lpwstr/>
  </property>
  <property fmtid="{D5CDD505-2E9C-101B-9397-08002B2CF9AE}" pid="10" name="NOSE12">
    <vt:lpwstr>עבודה</vt:lpwstr>
  </property>
  <property fmtid="{D5CDD505-2E9C-101B-9397-08002B2CF9AE}" pid="11" name="NOSE22">
    <vt:lpwstr>העסקת קבוצות מסוימות </vt:lpwstr>
  </property>
  <property fmtid="{D5CDD505-2E9C-101B-9397-08002B2CF9AE}" pid="12" name="NOSE32">
    <vt:lpwstr>כוחות הבטחון </vt:lpwstr>
  </property>
  <property fmtid="{D5CDD505-2E9C-101B-9397-08002B2CF9AE}" pid="13" name="NOSE42">
    <vt:lpwstr/>
  </property>
  <property fmtid="{D5CDD505-2E9C-101B-9397-08002B2CF9AE}" pid="14" name="NOSE13">
    <vt:lpwstr>עבודה</vt:lpwstr>
  </property>
  <property fmtid="{D5CDD505-2E9C-101B-9397-08002B2CF9AE}" pid="15" name="NOSE23">
    <vt:lpwstr>הודעה לעובד</vt:lpwstr>
  </property>
  <property fmtid="{D5CDD505-2E9C-101B-9397-08002B2CF9AE}" pid="16" name="NOSE33">
    <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חוק שירות הביטחון הכללי</vt:lpwstr>
  </property>
  <property fmtid="{D5CDD505-2E9C-101B-9397-08002B2CF9AE}" pid="47" name="MEKOR_SAIF1">
    <vt:lpwstr>15XבX2X;19XאX;21XאX</vt:lpwstr>
  </property>
  <property fmtid="{D5CDD505-2E9C-101B-9397-08002B2CF9AE}" pid="48" name="CHNAME">
    <vt:lpwstr/>
  </property>
  <property fmtid="{D5CDD505-2E9C-101B-9397-08002B2CF9AE}" pid="49" name="MEKORSAMCHUT">
    <vt:lpwstr/>
  </property>
  <property fmtid="{D5CDD505-2E9C-101B-9397-08002B2CF9AE}" pid="50" name="LINKK1">
    <vt:lpwstr>http://www.nevo.co.il/Law_word/law06/tak-8164.pdf;‎רשומות - תקנות כלליות#תוקנו ק"ת תשע"ט מס' ‏‏8164 #מיום 5.2.2019 עמ' 2090 – תק' תשע"ט-2019‏</vt:lpwstr>
  </property>
  <property fmtid="{D5CDD505-2E9C-101B-9397-08002B2CF9AE}" pid="51" name="LINKK2">
    <vt:lpwstr>http://www.nevo.co.il/Law_word/law06/tak-8175.pdf;‎רשומות - תקנות כלליות#ק"ת תשע"ט מס' 8175 ‏‏#מיום 18.2.2019 עמ' 2294 – תק' (מס' 2) תשע"ט-2019‏</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