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7E09" w:rsidRDefault="00847E09">
      <w:pPr>
        <w:pStyle w:val="big-header"/>
        <w:ind w:left="0" w:right="1134"/>
        <w:rPr>
          <w:rFonts w:cs="FrankRuehl" w:hint="cs"/>
          <w:sz w:val="32"/>
          <w:rtl/>
        </w:rPr>
      </w:pPr>
      <w:r>
        <w:rPr>
          <w:rFonts w:cs="FrankRuehl" w:hint="cs"/>
          <w:sz w:val="32"/>
          <w:rtl/>
        </w:rPr>
        <w:t>תקנות שירות הביטחון הכללי (העסקה לתקופת ניסיון במשרות המיועדות להעסקה לפי כתב מינוי), תשס"ח-2008</w:t>
      </w:r>
    </w:p>
    <w:p w:rsidR="00E7348C" w:rsidRDefault="00E7348C" w:rsidP="00E7348C">
      <w:pPr>
        <w:spacing w:line="320" w:lineRule="auto"/>
        <w:rPr>
          <w:rtl/>
        </w:rPr>
      </w:pPr>
    </w:p>
    <w:p w:rsidR="00E7348C" w:rsidRDefault="00E7348C" w:rsidP="00E7348C">
      <w:pPr>
        <w:spacing w:line="320" w:lineRule="auto"/>
        <w:rPr>
          <w:rFonts w:cs="Miriam"/>
          <w:szCs w:val="22"/>
          <w:rtl/>
        </w:rPr>
      </w:pPr>
      <w:r w:rsidRPr="00E7348C">
        <w:rPr>
          <w:rFonts w:cs="Miriam"/>
          <w:szCs w:val="22"/>
          <w:rtl/>
        </w:rPr>
        <w:t>בטחון</w:t>
      </w:r>
      <w:r w:rsidRPr="00E7348C">
        <w:rPr>
          <w:rFonts w:cs="FrankRuehl"/>
          <w:szCs w:val="26"/>
          <w:rtl/>
        </w:rPr>
        <w:t xml:space="preserve"> – שירות הביטחון הכללי – העסקה ועובדי השירות</w:t>
      </w:r>
    </w:p>
    <w:p w:rsidR="00DD54E3" w:rsidRPr="00E7348C" w:rsidRDefault="00E7348C" w:rsidP="00E7348C">
      <w:pPr>
        <w:spacing w:line="320" w:lineRule="auto"/>
        <w:rPr>
          <w:rFonts w:cs="Miriam" w:hint="cs"/>
          <w:szCs w:val="22"/>
          <w:rtl/>
        </w:rPr>
      </w:pPr>
      <w:r w:rsidRPr="00E7348C">
        <w:rPr>
          <w:rFonts w:cs="Miriam"/>
          <w:szCs w:val="22"/>
          <w:rtl/>
        </w:rPr>
        <w:t>עבודה</w:t>
      </w:r>
      <w:r w:rsidRPr="00E7348C">
        <w:rPr>
          <w:rFonts w:cs="FrankRuehl"/>
          <w:szCs w:val="26"/>
          <w:rtl/>
        </w:rPr>
        <w:t xml:space="preserve"> – העסקת קבוצות מסוימות  – כוחות הבטחון</w:t>
      </w:r>
    </w:p>
    <w:p w:rsidR="00847E09" w:rsidRDefault="00847E09">
      <w:pPr>
        <w:pStyle w:val="big-header"/>
        <w:ind w:left="0" w:right="1134"/>
        <w:rPr>
          <w:rFonts w:cs="FrankRuehl" w:hint="cs"/>
          <w:sz w:val="32"/>
          <w:rtl/>
        </w:rPr>
      </w:pPr>
      <w:r>
        <w:rPr>
          <w:rFonts w:cs="FrankRuehl" w:hint="cs"/>
          <w:sz w:val="32"/>
          <w:rtl/>
        </w:rPr>
        <w:t>תוכן ענינים</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47E09">
        <w:tblPrEx>
          <w:tblCellMar>
            <w:top w:w="0" w:type="dxa"/>
            <w:bottom w:w="0" w:type="dxa"/>
          </w:tblCellMar>
        </w:tblPrEx>
        <w:trPr>
          <w:jc w:val="right"/>
        </w:trPr>
        <w:tc>
          <w:tcPr>
            <w:tcW w:w="850" w:type="dxa"/>
          </w:tcPr>
          <w:p w:rsidR="00847E09" w:rsidRDefault="00847E09">
            <w:pPr>
              <w:rPr>
                <w:rFonts w:cs="Frankruhel" w:hint="cs"/>
              </w:rPr>
            </w:pPr>
            <w:r>
              <w:rPr>
                <w:rFonts w:cs="Frankruhel"/>
                <w:rtl/>
              </w:rPr>
              <w:fldChar w:fldCharType="begin"/>
            </w:r>
            <w:r>
              <w:rPr>
                <w:rFonts w:cs="Frankruhel"/>
                <w:rtl/>
              </w:rPr>
              <w:instrText xml:space="preserve"> </w:instrText>
            </w:r>
            <w:r>
              <w:rPr>
                <w:rFonts w:cs="Frankruhel"/>
              </w:rPr>
              <w:instrText>PAGEREF Seif1</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847E09" w:rsidRDefault="00847E09">
            <w:pPr>
              <w:rPr>
                <w:rFonts w:cs="Frankruhel" w:hint="cs"/>
              </w:rPr>
            </w:pPr>
            <w:hyperlink w:anchor="Seif1" w:tooltip="הגדרות" w:history="1">
              <w:r>
                <w:rPr>
                  <w:rStyle w:val="Hyperlink"/>
                </w:rPr>
                <w:t>Go</w:t>
              </w:r>
            </w:hyperlink>
          </w:p>
        </w:tc>
        <w:tc>
          <w:tcPr>
            <w:tcW w:w="5669" w:type="dxa"/>
          </w:tcPr>
          <w:p w:rsidR="00847E09" w:rsidRDefault="00847E09">
            <w:pPr>
              <w:rPr>
                <w:rFonts w:cs="Frankruhel" w:hint="cs"/>
              </w:rPr>
            </w:pPr>
            <w:r>
              <w:rPr>
                <w:rFonts w:cs="Frankruhel"/>
                <w:rtl/>
              </w:rPr>
              <w:t>הגדרות</w:t>
            </w:r>
          </w:p>
        </w:tc>
        <w:tc>
          <w:tcPr>
            <w:tcW w:w="1247" w:type="dxa"/>
          </w:tcPr>
          <w:p w:rsidR="00847E09" w:rsidRDefault="00847E09">
            <w:pPr>
              <w:rPr>
                <w:rFonts w:cs="Frankruhel" w:hint="cs"/>
              </w:rPr>
            </w:pPr>
            <w:r>
              <w:rPr>
                <w:rFonts w:cs="Frankruhel"/>
                <w:rtl/>
              </w:rPr>
              <w:t xml:space="preserve">סעיף 1 </w:t>
            </w:r>
          </w:p>
        </w:tc>
      </w:tr>
      <w:tr w:rsidR="00847E09">
        <w:tblPrEx>
          <w:tblCellMar>
            <w:top w:w="0" w:type="dxa"/>
            <w:bottom w:w="0" w:type="dxa"/>
          </w:tblCellMar>
        </w:tblPrEx>
        <w:trPr>
          <w:jc w:val="right"/>
        </w:trPr>
        <w:tc>
          <w:tcPr>
            <w:tcW w:w="850" w:type="dxa"/>
          </w:tcPr>
          <w:p w:rsidR="00847E09" w:rsidRDefault="00847E09">
            <w:pPr>
              <w:rPr>
                <w:rFonts w:cs="Frankruhel" w:hint="cs"/>
              </w:rPr>
            </w:pPr>
            <w:r>
              <w:rPr>
                <w:rFonts w:cs="Frankruhel"/>
                <w:rtl/>
              </w:rPr>
              <w:fldChar w:fldCharType="begin"/>
            </w:r>
            <w:r>
              <w:rPr>
                <w:rFonts w:cs="Frankruhel"/>
                <w:rtl/>
              </w:rPr>
              <w:instrText xml:space="preserve"> </w:instrText>
            </w:r>
            <w:r>
              <w:rPr>
                <w:rFonts w:cs="Frankruhel"/>
              </w:rPr>
              <w:instrText>PAGEREF Seif2</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847E09" w:rsidRDefault="00847E09">
            <w:pPr>
              <w:rPr>
                <w:rFonts w:cs="Frankruhel" w:hint="cs"/>
              </w:rPr>
            </w:pPr>
            <w:hyperlink w:anchor="Seif2" w:tooltip="העסקה בתקופת ניסיון" w:history="1">
              <w:r>
                <w:rPr>
                  <w:rStyle w:val="Hyperlink"/>
                </w:rPr>
                <w:t>Go</w:t>
              </w:r>
            </w:hyperlink>
          </w:p>
        </w:tc>
        <w:tc>
          <w:tcPr>
            <w:tcW w:w="5669" w:type="dxa"/>
          </w:tcPr>
          <w:p w:rsidR="00847E09" w:rsidRDefault="00847E09">
            <w:pPr>
              <w:rPr>
                <w:rFonts w:cs="Frankruhel" w:hint="cs"/>
              </w:rPr>
            </w:pPr>
            <w:r>
              <w:rPr>
                <w:rFonts w:cs="Frankruhel"/>
                <w:rtl/>
              </w:rPr>
              <w:t>העסקה בתקופת ניסיון</w:t>
            </w:r>
          </w:p>
        </w:tc>
        <w:tc>
          <w:tcPr>
            <w:tcW w:w="1247" w:type="dxa"/>
          </w:tcPr>
          <w:p w:rsidR="00847E09" w:rsidRDefault="00847E09">
            <w:pPr>
              <w:rPr>
                <w:rFonts w:cs="Frankruhel" w:hint="cs"/>
              </w:rPr>
            </w:pPr>
            <w:r>
              <w:rPr>
                <w:rFonts w:cs="Frankruhel"/>
                <w:rtl/>
              </w:rPr>
              <w:t xml:space="preserve">סעיף 2 </w:t>
            </w:r>
          </w:p>
        </w:tc>
      </w:tr>
      <w:tr w:rsidR="00847E09">
        <w:tblPrEx>
          <w:tblCellMar>
            <w:top w:w="0" w:type="dxa"/>
            <w:bottom w:w="0" w:type="dxa"/>
          </w:tblCellMar>
        </w:tblPrEx>
        <w:trPr>
          <w:jc w:val="right"/>
        </w:trPr>
        <w:tc>
          <w:tcPr>
            <w:tcW w:w="850" w:type="dxa"/>
          </w:tcPr>
          <w:p w:rsidR="00847E09" w:rsidRDefault="00847E09">
            <w:pPr>
              <w:rPr>
                <w:rFonts w:cs="Frankruhel" w:hint="cs"/>
              </w:rPr>
            </w:pPr>
            <w:r>
              <w:rPr>
                <w:rFonts w:cs="Frankruhel"/>
                <w:rtl/>
              </w:rPr>
              <w:fldChar w:fldCharType="begin"/>
            </w:r>
            <w:r>
              <w:rPr>
                <w:rFonts w:cs="Frankruhel"/>
                <w:rtl/>
              </w:rPr>
              <w:instrText xml:space="preserve"> </w:instrText>
            </w:r>
            <w:r>
              <w:rPr>
                <w:rFonts w:cs="Frankruhel"/>
              </w:rPr>
              <w:instrText>PAGEREF Seif3</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847E09" w:rsidRDefault="00847E09">
            <w:pPr>
              <w:rPr>
                <w:rFonts w:cs="Frankruhel" w:hint="cs"/>
              </w:rPr>
            </w:pPr>
            <w:hyperlink w:anchor="Seif3" w:tooltip="התאמה לקבלת כתב מינוי" w:history="1">
              <w:r>
                <w:rPr>
                  <w:rStyle w:val="Hyperlink"/>
                </w:rPr>
                <w:t>Go</w:t>
              </w:r>
            </w:hyperlink>
          </w:p>
        </w:tc>
        <w:tc>
          <w:tcPr>
            <w:tcW w:w="5669" w:type="dxa"/>
          </w:tcPr>
          <w:p w:rsidR="00847E09" w:rsidRDefault="00847E09">
            <w:pPr>
              <w:rPr>
                <w:rFonts w:cs="Frankruhel" w:hint="cs"/>
              </w:rPr>
            </w:pPr>
            <w:r>
              <w:rPr>
                <w:rFonts w:cs="Frankruhel"/>
                <w:rtl/>
              </w:rPr>
              <w:t>התאמה לקבלת כתב מינוי</w:t>
            </w:r>
          </w:p>
        </w:tc>
        <w:tc>
          <w:tcPr>
            <w:tcW w:w="1247" w:type="dxa"/>
          </w:tcPr>
          <w:p w:rsidR="00847E09" w:rsidRDefault="00847E09">
            <w:pPr>
              <w:rPr>
                <w:rFonts w:cs="Frankruhel" w:hint="cs"/>
              </w:rPr>
            </w:pPr>
            <w:r>
              <w:rPr>
                <w:rFonts w:cs="Frankruhel"/>
                <w:rtl/>
              </w:rPr>
              <w:t xml:space="preserve">סעיף 3 </w:t>
            </w:r>
          </w:p>
        </w:tc>
      </w:tr>
      <w:tr w:rsidR="00847E09">
        <w:tblPrEx>
          <w:tblCellMar>
            <w:top w:w="0" w:type="dxa"/>
            <w:bottom w:w="0" w:type="dxa"/>
          </w:tblCellMar>
        </w:tblPrEx>
        <w:trPr>
          <w:jc w:val="right"/>
        </w:trPr>
        <w:tc>
          <w:tcPr>
            <w:tcW w:w="850" w:type="dxa"/>
          </w:tcPr>
          <w:p w:rsidR="00847E09" w:rsidRDefault="00847E09">
            <w:pPr>
              <w:rPr>
                <w:rFonts w:cs="Frankruhel" w:hint="cs"/>
              </w:rPr>
            </w:pPr>
            <w:r>
              <w:rPr>
                <w:rFonts w:cs="Frankruhel"/>
                <w:rtl/>
              </w:rPr>
              <w:fldChar w:fldCharType="begin"/>
            </w:r>
            <w:r>
              <w:rPr>
                <w:rFonts w:cs="Frankruhel"/>
                <w:rtl/>
              </w:rPr>
              <w:instrText xml:space="preserve"> </w:instrText>
            </w:r>
            <w:r>
              <w:rPr>
                <w:rFonts w:cs="Frankruhel"/>
              </w:rPr>
              <w:instrText>PAGEREF Seif4</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847E09" w:rsidRDefault="00847E09">
            <w:pPr>
              <w:rPr>
                <w:rFonts w:cs="Frankruhel" w:hint="cs"/>
              </w:rPr>
            </w:pPr>
            <w:hyperlink w:anchor="Seif4" w:tooltip="תחילה" w:history="1">
              <w:r>
                <w:rPr>
                  <w:rStyle w:val="Hyperlink"/>
                </w:rPr>
                <w:t>Go</w:t>
              </w:r>
            </w:hyperlink>
          </w:p>
        </w:tc>
        <w:tc>
          <w:tcPr>
            <w:tcW w:w="5669" w:type="dxa"/>
          </w:tcPr>
          <w:p w:rsidR="00847E09" w:rsidRDefault="00847E09">
            <w:pPr>
              <w:rPr>
                <w:rFonts w:cs="Frankruhel" w:hint="cs"/>
              </w:rPr>
            </w:pPr>
            <w:r>
              <w:rPr>
                <w:rFonts w:cs="Frankruhel"/>
                <w:rtl/>
              </w:rPr>
              <w:t>תחילה</w:t>
            </w:r>
          </w:p>
        </w:tc>
        <w:tc>
          <w:tcPr>
            <w:tcW w:w="1247" w:type="dxa"/>
          </w:tcPr>
          <w:p w:rsidR="00847E09" w:rsidRDefault="00847E09">
            <w:pPr>
              <w:rPr>
                <w:rFonts w:cs="Frankruhel" w:hint="cs"/>
              </w:rPr>
            </w:pPr>
            <w:r>
              <w:rPr>
                <w:rFonts w:cs="Frankruhel"/>
                <w:rtl/>
              </w:rPr>
              <w:t xml:space="preserve">סעיף 4 </w:t>
            </w:r>
          </w:p>
        </w:tc>
      </w:tr>
      <w:tr w:rsidR="00847E09">
        <w:tblPrEx>
          <w:tblCellMar>
            <w:top w:w="0" w:type="dxa"/>
            <w:bottom w:w="0" w:type="dxa"/>
          </w:tblCellMar>
        </w:tblPrEx>
        <w:trPr>
          <w:jc w:val="right"/>
        </w:trPr>
        <w:tc>
          <w:tcPr>
            <w:tcW w:w="850" w:type="dxa"/>
          </w:tcPr>
          <w:p w:rsidR="00847E09" w:rsidRDefault="00847E09">
            <w:pPr>
              <w:rPr>
                <w:rFonts w:cs="Frankruhel" w:hint="cs"/>
              </w:rPr>
            </w:pPr>
            <w:r>
              <w:rPr>
                <w:rFonts w:cs="Frankruhel"/>
                <w:rtl/>
              </w:rPr>
              <w:fldChar w:fldCharType="begin"/>
            </w:r>
            <w:r>
              <w:rPr>
                <w:rFonts w:cs="Frankruhel"/>
                <w:rtl/>
              </w:rPr>
              <w:instrText xml:space="preserve"> </w:instrText>
            </w:r>
            <w:r>
              <w:rPr>
                <w:rFonts w:cs="Frankruhel"/>
              </w:rPr>
              <w:instrText>PAGEREF Seif5</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847E09" w:rsidRDefault="00847E09">
            <w:pPr>
              <w:rPr>
                <w:rFonts w:cs="Frankruhel" w:hint="cs"/>
              </w:rPr>
            </w:pPr>
            <w:hyperlink w:anchor="Seif5" w:tooltip="הוראות מעבר" w:history="1">
              <w:r>
                <w:rPr>
                  <w:rStyle w:val="Hyperlink"/>
                </w:rPr>
                <w:t>Go</w:t>
              </w:r>
            </w:hyperlink>
          </w:p>
        </w:tc>
        <w:tc>
          <w:tcPr>
            <w:tcW w:w="5669" w:type="dxa"/>
          </w:tcPr>
          <w:p w:rsidR="00847E09" w:rsidRDefault="00847E09">
            <w:pPr>
              <w:rPr>
                <w:rFonts w:cs="Frankruhel" w:hint="cs"/>
              </w:rPr>
            </w:pPr>
            <w:r>
              <w:rPr>
                <w:rFonts w:cs="Frankruhel"/>
                <w:rtl/>
              </w:rPr>
              <w:t>הוראות מעבר</w:t>
            </w:r>
          </w:p>
        </w:tc>
        <w:tc>
          <w:tcPr>
            <w:tcW w:w="1247" w:type="dxa"/>
          </w:tcPr>
          <w:p w:rsidR="00847E09" w:rsidRDefault="00847E09">
            <w:pPr>
              <w:rPr>
                <w:rFonts w:cs="Frankruhel" w:hint="cs"/>
              </w:rPr>
            </w:pPr>
            <w:r>
              <w:rPr>
                <w:rFonts w:cs="Frankruhel"/>
                <w:rtl/>
              </w:rPr>
              <w:t xml:space="preserve">סעיף 5 </w:t>
            </w:r>
          </w:p>
        </w:tc>
      </w:tr>
    </w:tbl>
    <w:p w:rsidR="00847E09" w:rsidRDefault="00847E09">
      <w:pPr>
        <w:pStyle w:val="big-header"/>
        <w:ind w:left="0" w:right="1134"/>
        <w:rPr>
          <w:rFonts w:cs="FrankRuehl" w:hint="cs"/>
          <w:sz w:val="32"/>
          <w:rtl/>
        </w:rPr>
      </w:pPr>
    </w:p>
    <w:p w:rsidR="00847E09" w:rsidRPr="00DD54E3" w:rsidRDefault="00847E09" w:rsidP="00DD54E3">
      <w:pPr>
        <w:pStyle w:val="big-header"/>
        <w:ind w:left="0" w:right="1134"/>
        <w:rPr>
          <w:rStyle w:val="default"/>
          <w:rFonts w:cs="FrankRuehl" w:hint="cs"/>
          <w:sz w:val="32"/>
          <w:szCs w:val="32"/>
          <w:rtl/>
        </w:rPr>
      </w:pPr>
      <w:r>
        <w:rPr>
          <w:rFonts w:cs="FrankRuehl"/>
          <w:sz w:val="32"/>
          <w:rtl/>
        </w:rPr>
        <w:br w:type="page"/>
      </w:r>
      <w:r>
        <w:rPr>
          <w:rFonts w:cs="FrankRuehl" w:hint="cs"/>
          <w:sz w:val="32"/>
          <w:rtl/>
        </w:rPr>
        <w:lastRenderedPageBreak/>
        <w:t>תקנות שירות הביטחון הכללי (העסקה לתקופת ניסיון במשרות המיועדות להעסקה לפי כתב מינוי), תשס"ח-2008</w:t>
      </w:r>
      <w:r>
        <w:rPr>
          <w:rStyle w:val="default"/>
          <w:sz w:val="22"/>
          <w:szCs w:val="22"/>
          <w:rtl/>
        </w:rPr>
        <w:footnoteReference w:customMarkFollows="1" w:id="1"/>
        <w:t>*</w:t>
      </w:r>
    </w:p>
    <w:p w:rsidR="00847E09" w:rsidRDefault="00847E09">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Pr>
          <w:rStyle w:val="default"/>
          <w:rFonts w:cs="FrankRuehl" w:hint="cs"/>
          <w:rtl/>
        </w:rPr>
        <w:t xml:space="preserve">סמכותי לפי סעיפים 2(ג) ו-21(א) לחוק שירות הביטחון הכללי, התשס"ב-2002 (להלן </w:t>
      </w:r>
      <w:r>
        <w:rPr>
          <w:rStyle w:val="default"/>
          <w:rFonts w:cs="FrankRuehl"/>
          <w:rtl/>
        </w:rPr>
        <w:t>–</w:t>
      </w:r>
      <w:r>
        <w:rPr>
          <w:rStyle w:val="default"/>
          <w:rFonts w:cs="FrankRuehl" w:hint="cs"/>
          <w:rtl/>
        </w:rPr>
        <w:t xml:space="preserve"> החוק), לאחר התייעצות עם נציב שירות המדינה, ובכפוף להוראות חוק יסודות התקציב, התשמ"ה-1985, ולהוראות חוק התקציב השנתי, ובאישור ועדת השרים לענייני שירות הביטחון הכללי וועדת הכנסת לענייני שירות, אני מתקין תקנות אלה:</w:t>
      </w:r>
    </w:p>
    <w:p w:rsidR="00847E09" w:rsidRDefault="00847E09">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16.95pt;z-index:251655680" filled="f" stroked="f" strokecolor="lime" strokeweight=".25pt">
            <v:textbox style="mso-next-textbox:#_x0000_s1026" inset="0,0,0,0">
              <w:txbxContent>
                <w:p w:rsidR="00847E09" w:rsidRDefault="00847E0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rsidR="00847E09" w:rsidRDefault="00847E09">
      <w:pPr>
        <w:pStyle w:val="P00"/>
        <w:spacing w:before="72"/>
        <w:ind w:left="0" w:right="1134"/>
        <w:rPr>
          <w:rStyle w:val="default"/>
          <w:rFonts w:cs="FrankRuehl" w:hint="cs"/>
          <w:rtl/>
        </w:rPr>
      </w:pPr>
      <w:r>
        <w:rPr>
          <w:rStyle w:val="default"/>
          <w:rFonts w:cs="FrankRuehl" w:hint="cs"/>
          <w:rtl/>
        </w:rPr>
        <w:tab/>
        <w:t xml:space="preserve">"הרשאה להעסקה לשעה" </w:t>
      </w:r>
      <w:r>
        <w:rPr>
          <w:rStyle w:val="default"/>
          <w:rFonts w:cs="FrankRuehl"/>
          <w:rtl/>
        </w:rPr>
        <w:t>–</w:t>
      </w:r>
      <w:r>
        <w:rPr>
          <w:rStyle w:val="default"/>
          <w:rFonts w:cs="FrankRuehl" w:hint="cs"/>
          <w:rtl/>
        </w:rPr>
        <w:t xml:space="preserve"> כמשמעותה בסעיפים 38 ו-39א בחוק שירות המדינה (מינויים), התשי"ט-1959 (להלן </w:t>
      </w:r>
      <w:r>
        <w:rPr>
          <w:rStyle w:val="default"/>
          <w:rFonts w:cs="FrankRuehl"/>
          <w:rtl/>
        </w:rPr>
        <w:t>–</w:t>
      </w:r>
      <w:r>
        <w:rPr>
          <w:rStyle w:val="default"/>
          <w:rFonts w:cs="FrankRuehl" w:hint="cs"/>
          <w:rtl/>
        </w:rPr>
        <w:t xml:space="preserve"> חוק המינויים);</w:t>
      </w:r>
    </w:p>
    <w:p w:rsidR="00847E09" w:rsidRDefault="00847E09">
      <w:pPr>
        <w:pStyle w:val="P00"/>
        <w:spacing w:before="72"/>
        <w:ind w:left="0" w:right="1134"/>
        <w:rPr>
          <w:rStyle w:val="default"/>
          <w:rFonts w:cs="FrankRuehl" w:hint="cs"/>
          <w:rtl/>
        </w:rPr>
      </w:pPr>
      <w:r>
        <w:rPr>
          <w:rStyle w:val="default"/>
          <w:rFonts w:cs="FrankRuehl" w:hint="cs"/>
          <w:rtl/>
        </w:rPr>
        <w:tab/>
        <w:t xml:space="preserve">"השירות" </w:t>
      </w:r>
      <w:r>
        <w:rPr>
          <w:rStyle w:val="default"/>
          <w:rFonts w:cs="FrankRuehl"/>
          <w:rtl/>
        </w:rPr>
        <w:t>–</w:t>
      </w:r>
      <w:r>
        <w:rPr>
          <w:rStyle w:val="default"/>
          <w:rFonts w:cs="FrankRuehl" w:hint="cs"/>
          <w:rtl/>
        </w:rPr>
        <w:t xml:space="preserve"> שירות הביטחון הכללי;</w:t>
      </w:r>
    </w:p>
    <w:p w:rsidR="00847E09" w:rsidRDefault="00847E09">
      <w:pPr>
        <w:pStyle w:val="P00"/>
        <w:spacing w:before="72"/>
        <w:ind w:left="0" w:right="1134"/>
        <w:rPr>
          <w:rStyle w:val="default"/>
          <w:rFonts w:cs="FrankRuehl" w:hint="cs"/>
          <w:rtl/>
        </w:rPr>
      </w:pPr>
      <w:r>
        <w:rPr>
          <w:rStyle w:val="default"/>
          <w:rFonts w:cs="FrankRuehl" w:hint="cs"/>
          <w:rtl/>
        </w:rPr>
        <w:tab/>
        <w:t xml:space="preserve">"משרה בתקן" </w:t>
      </w:r>
      <w:r>
        <w:rPr>
          <w:rStyle w:val="default"/>
          <w:rFonts w:cs="FrankRuehl"/>
          <w:rtl/>
        </w:rPr>
        <w:t>–</w:t>
      </w:r>
      <w:r>
        <w:rPr>
          <w:rStyle w:val="default"/>
          <w:rFonts w:cs="FrankRuehl" w:hint="cs"/>
          <w:rtl/>
        </w:rPr>
        <w:t xml:space="preserve"> כמשמעותה בסעיף 13 לחוק המינויים;</w:t>
      </w:r>
    </w:p>
    <w:p w:rsidR="00847E09" w:rsidRDefault="00847E09">
      <w:pPr>
        <w:pStyle w:val="P00"/>
        <w:spacing w:before="72"/>
        <w:ind w:left="0" w:right="1134"/>
        <w:rPr>
          <w:rStyle w:val="default"/>
          <w:rFonts w:cs="FrankRuehl" w:hint="cs"/>
          <w:rtl/>
        </w:rPr>
      </w:pPr>
      <w:r>
        <w:rPr>
          <w:rStyle w:val="default"/>
          <w:rFonts w:cs="FrankRuehl" w:hint="cs"/>
          <w:rtl/>
        </w:rPr>
        <w:tab/>
        <w:t xml:space="preserve">"משרה המיועדת להעסקה לפי כתב מינוי" </w:t>
      </w:r>
      <w:r>
        <w:rPr>
          <w:rStyle w:val="default"/>
          <w:rFonts w:cs="FrankRuehl"/>
          <w:rtl/>
        </w:rPr>
        <w:t>–</w:t>
      </w:r>
      <w:r>
        <w:rPr>
          <w:rStyle w:val="default"/>
          <w:rFonts w:cs="FrankRuehl" w:hint="cs"/>
          <w:rtl/>
        </w:rPr>
        <w:t xml:space="preserve"> משרה בתקן מסוג המשרות שנקבעו לעניין זה בנוהלי השירות;</w:t>
      </w:r>
    </w:p>
    <w:p w:rsidR="00847E09" w:rsidRDefault="00847E09">
      <w:pPr>
        <w:pStyle w:val="P00"/>
        <w:spacing w:before="72"/>
        <w:ind w:left="0" w:right="1134"/>
        <w:rPr>
          <w:rStyle w:val="default"/>
          <w:rFonts w:cs="FrankRuehl" w:hint="cs"/>
          <w:rtl/>
        </w:rPr>
      </w:pPr>
      <w:r>
        <w:rPr>
          <w:rStyle w:val="default"/>
          <w:rFonts w:cs="FrankRuehl" w:hint="cs"/>
          <w:rtl/>
        </w:rPr>
        <w:tab/>
        <w:t xml:space="preserve">"נציב השירות" </w:t>
      </w:r>
      <w:r>
        <w:rPr>
          <w:rStyle w:val="default"/>
          <w:rFonts w:cs="FrankRuehl"/>
          <w:rtl/>
        </w:rPr>
        <w:t>–</w:t>
      </w:r>
      <w:r>
        <w:rPr>
          <w:rStyle w:val="default"/>
          <w:rFonts w:cs="FrankRuehl" w:hint="cs"/>
          <w:rtl/>
        </w:rPr>
        <w:t xml:space="preserve"> נציב שירות המדינה כמשמעותו בסעיף 6 לחוק המינויים, או מי שהוא הסמיכו לכך;</w:t>
      </w:r>
    </w:p>
    <w:p w:rsidR="00847E09" w:rsidRDefault="00847E09">
      <w:pPr>
        <w:pStyle w:val="P00"/>
        <w:spacing w:before="72"/>
        <w:ind w:left="0" w:right="1134"/>
        <w:rPr>
          <w:rStyle w:val="default"/>
          <w:rFonts w:cs="FrankRuehl" w:hint="cs"/>
          <w:rtl/>
        </w:rPr>
      </w:pPr>
      <w:r>
        <w:rPr>
          <w:rStyle w:val="default"/>
          <w:rFonts w:cs="FrankRuehl" w:hint="cs"/>
          <w:rtl/>
        </w:rPr>
        <w:tab/>
        <w:t xml:space="preserve">"ראש השירות" </w:t>
      </w:r>
      <w:r>
        <w:rPr>
          <w:rStyle w:val="default"/>
          <w:rFonts w:cs="FrankRuehl"/>
          <w:rtl/>
        </w:rPr>
        <w:t>–</w:t>
      </w:r>
      <w:r>
        <w:rPr>
          <w:rStyle w:val="default"/>
          <w:rFonts w:cs="FrankRuehl" w:hint="cs"/>
          <w:rtl/>
        </w:rPr>
        <w:t xml:space="preserve"> כהגדרתו בחוק, או מי שהוא הסמיכו לכך;</w:t>
      </w:r>
    </w:p>
    <w:p w:rsidR="00847E09" w:rsidRDefault="00847E09">
      <w:pPr>
        <w:pStyle w:val="P00"/>
        <w:spacing w:before="72"/>
        <w:ind w:left="0" w:right="1134"/>
        <w:rPr>
          <w:rStyle w:val="default"/>
          <w:rFonts w:cs="FrankRuehl" w:hint="cs"/>
          <w:rtl/>
        </w:rPr>
      </w:pPr>
      <w:r>
        <w:rPr>
          <w:rStyle w:val="default"/>
          <w:rFonts w:cs="FrankRuehl" w:hint="cs"/>
          <w:rtl/>
        </w:rPr>
        <w:tab/>
        <w:t xml:space="preserve">"תקופת ניסיון" </w:t>
      </w:r>
      <w:r>
        <w:rPr>
          <w:rStyle w:val="default"/>
          <w:rFonts w:cs="FrankRuehl"/>
          <w:rtl/>
        </w:rPr>
        <w:t>–</w:t>
      </w:r>
      <w:r>
        <w:rPr>
          <w:rStyle w:val="default"/>
          <w:rFonts w:cs="FrankRuehl" w:hint="cs"/>
          <w:rtl/>
        </w:rPr>
        <w:t xml:space="preserve"> תקופה המיועדת לבחינת התאמתו של עובד השירות למשרה המיועדת להעסקה בכתב מינוי, למשרה שבה הוצב וכן לבחינת התאמתו להעסקה בכתב מינוי בשירות.</w:t>
      </w:r>
    </w:p>
    <w:p w:rsidR="00847E09" w:rsidRDefault="00847E09">
      <w:pPr>
        <w:pStyle w:val="P00"/>
        <w:spacing w:before="72"/>
        <w:ind w:left="0" w:right="1134"/>
        <w:rPr>
          <w:rStyle w:val="default"/>
          <w:rFonts w:cs="FrankRuehl" w:hint="cs"/>
          <w:rtl/>
        </w:rPr>
      </w:pPr>
      <w:bookmarkStart w:id="1" w:name="Seif2"/>
      <w:bookmarkEnd w:id="1"/>
      <w:r>
        <w:rPr>
          <w:rFonts w:cs="Miriam"/>
          <w:lang w:val="he-IL"/>
        </w:rPr>
        <w:pict>
          <v:rect id="_x0000_s1358" style="position:absolute;left:0;text-align:left;margin-left:464.35pt;margin-top:7.1pt;width:75.05pt;height:23.05pt;z-index:251656704" o:allowincell="f" filled="f" stroked="f" strokecolor="lime" strokeweight=".25pt">
            <v:textbox style="mso-next-textbox:#_x0000_s1358" inset="0,0,0,0">
              <w:txbxContent>
                <w:p w:rsidR="00847E09" w:rsidRDefault="00847E09">
                  <w:pPr>
                    <w:pStyle w:val="a7"/>
                    <w:rPr>
                      <w:rFonts w:hint="cs"/>
                      <w:noProof/>
                      <w:rtl/>
                    </w:rPr>
                  </w:pPr>
                  <w:r>
                    <w:rPr>
                      <w:rFonts w:hint="cs"/>
                      <w:rtl/>
                    </w:rPr>
                    <w:t>העסקה בתקופת ניסיון</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תקופת ניסיון לקבלת כתב מינוי בשירות תהיה בת חמש שנים מיום הצבת העובד במשרה בתקן המיועדת להעסקה לפי כתב מינוי, לרבות תקופת ההכשרה לתפקיד, ואולם ראש אגף משאבי אנוש בשירות (להלן </w:t>
      </w:r>
      <w:r>
        <w:rPr>
          <w:rStyle w:val="default"/>
          <w:rFonts w:cs="FrankRuehl"/>
          <w:rtl/>
        </w:rPr>
        <w:t>–</w:t>
      </w:r>
      <w:r>
        <w:rPr>
          <w:rStyle w:val="default"/>
          <w:rFonts w:cs="FrankRuehl" w:hint="cs"/>
          <w:rtl/>
        </w:rPr>
        <w:t xml:space="preserve"> ראש האגף), רשאי במקרים חריגים שיחליט עליהם ומטעמים שיירשמו, ובהסכמת העובד בכתב, להאריך את תקופת הניסיון לתקופה נוספת שלא תעלה על שנה אחת.</w:t>
      </w:r>
    </w:p>
    <w:p w:rsidR="00847E09" w:rsidRDefault="00847E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בתקופת הניסיון יועסק עובד בהרשאה להעסקה לשעה, לפרקי זמן של שנה או יותר בכל פעם, כפי שייקבע בנוהלי השירות.</w:t>
      </w:r>
    </w:p>
    <w:p w:rsidR="00847E09" w:rsidRDefault="00847E0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ראש האגף רשאי, במקרים חריגים שיחליט עליהם ומטעמים שיירשמו, לקבוע לעובד תקופת ניסיון קצרה מזו הקבועה בתקנת משנה (א) ובלבד שלא תפחת משתי שנים.</w:t>
      </w:r>
    </w:p>
    <w:p w:rsidR="00847E09" w:rsidRDefault="00847E0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ראש השירות רשאי, באישור נציב השירות, לקבוע לעובד במסלול העסקה ייחודי שפורט לעניין זה בנוהלי השירות, תקופת ניסיון ארוכה מזו הקבועה בתקנת משנה (א) ובלבד שלא תעלה על שש שנים; על תקופה כאמור יחולו תקנות משנה (א) עד (ג), (ה) ו-(ו) בהתאמה.</w:t>
      </w:r>
    </w:p>
    <w:p w:rsidR="00847E09" w:rsidRDefault="00847E0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עבר עובד, במהלך תקופת הניסיון, לפי בקשתו ובאישור ראש האגף או מי שמינה לכך, למשרה אחרת, ישלים את תקופת הניסיון הקבועה בתקנת משנה (א), או תקופה ארוכה מכך, הכל כמפורט לעניין זה בנוהלי השירות; לעניין זה, "משרה אחרת" </w:t>
      </w:r>
      <w:r>
        <w:rPr>
          <w:rStyle w:val="default"/>
          <w:rFonts w:cs="FrankRuehl"/>
          <w:rtl/>
        </w:rPr>
        <w:t>–</w:t>
      </w:r>
      <w:r>
        <w:rPr>
          <w:rStyle w:val="default"/>
          <w:rFonts w:cs="FrankRuehl" w:hint="cs"/>
          <w:rtl/>
        </w:rPr>
        <w:t xml:space="preserve"> משרה בתקן המיועדת להעסקה בכתב מינוי.</w:t>
      </w:r>
    </w:p>
    <w:p w:rsidR="00847E09" w:rsidRDefault="00847E0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במהלך תקופת הניסיון ינתנו לעובד משובים תקופתיים כמפורט בנוהלי השירות.</w:t>
      </w:r>
    </w:p>
    <w:p w:rsidR="00847E09" w:rsidRDefault="00847E09">
      <w:pPr>
        <w:pStyle w:val="P00"/>
        <w:spacing w:before="72"/>
        <w:ind w:left="0" w:right="1134"/>
        <w:rPr>
          <w:rStyle w:val="default"/>
          <w:rFonts w:cs="FrankRuehl" w:hint="cs"/>
          <w:rtl/>
        </w:rPr>
      </w:pPr>
      <w:bookmarkStart w:id="2" w:name="Seif3"/>
      <w:bookmarkEnd w:id="2"/>
      <w:r>
        <w:rPr>
          <w:rFonts w:cs="Miriam"/>
          <w:lang w:val="he-IL"/>
        </w:rPr>
        <w:pict>
          <v:rect id="_x0000_s1359" style="position:absolute;left:0;text-align:left;margin-left:464.35pt;margin-top:7.1pt;width:75.05pt;height:24.9pt;z-index:251657728" o:allowincell="f" filled="f" stroked="f" strokecolor="lime" strokeweight=".25pt">
            <v:textbox style="mso-next-textbox:#_x0000_s1359" inset="0,0,0,0">
              <w:txbxContent>
                <w:p w:rsidR="00847E09" w:rsidRDefault="00847E09">
                  <w:pPr>
                    <w:spacing w:line="160" w:lineRule="exact"/>
                    <w:rPr>
                      <w:rFonts w:cs="Miriam" w:hint="cs"/>
                      <w:noProof/>
                      <w:sz w:val="18"/>
                      <w:szCs w:val="18"/>
                      <w:rtl/>
                    </w:rPr>
                  </w:pPr>
                  <w:r>
                    <w:rPr>
                      <w:rFonts w:cs="Miriam" w:hint="cs"/>
                      <w:sz w:val="18"/>
                      <w:szCs w:val="18"/>
                      <w:rtl/>
                    </w:rPr>
                    <w:t>התאמה לקבלת כתב מינוי</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לקראת סיום תקופת הניסיון תיבחן התאמתו של עובד לקבלת כתב מינוי בשירות כמפורט לעניין זה בנוהלי השירות.</w:t>
      </w:r>
    </w:p>
    <w:p w:rsidR="00847E09" w:rsidRDefault="00847E09">
      <w:pPr>
        <w:pStyle w:val="P00"/>
        <w:spacing w:before="72"/>
        <w:ind w:left="0" w:right="1134"/>
        <w:rPr>
          <w:rStyle w:val="default"/>
          <w:rFonts w:cs="FrankRuehl" w:hint="cs"/>
          <w:rtl/>
        </w:rPr>
      </w:pPr>
      <w:bookmarkStart w:id="3" w:name="Seif4"/>
      <w:bookmarkEnd w:id="3"/>
      <w:r>
        <w:rPr>
          <w:rFonts w:cs="Miriam"/>
          <w:lang w:val="he-IL"/>
        </w:rPr>
        <w:pict>
          <v:rect id="_x0000_s1424" style="position:absolute;left:0;text-align:left;margin-left:464.35pt;margin-top:7.1pt;width:75.05pt;height:17.35pt;z-index:251658752" o:allowincell="f" filled="f" stroked="f" strokecolor="lime" strokeweight=".25pt">
            <v:textbox style="mso-next-textbox:#_x0000_s1424" inset="0,0,0,0">
              <w:txbxContent>
                <w:p w:rsidR="00847E09" w:rsidRDefault="00847E09">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תחילתן של תקנות אלה 90 ימים מיום פרסומן.</w:t>
      </w:r>
    </w:p>
    <w:p w:rsidR="00847E09" w:rsidRDefault="00847E09">
      <w:pPr>
        <w:pStyle w:val="P00"/>
        <w:spacing w:before="72"/>
        <w:ind w:left="0" w:right="1134"/>
        <w:rPr>
          <w:rStyle w:val="default"/>
          <w:rFonts w:cs="FrankRuehl" w:hint="cs"/>
          <w:rtl/>
        </w:rPr>
      </w:pPr>
      <w:bookmarkStart w:id="4" w:name="Seif5"/>
      <w:bookmarkEnd w:id="4"/>
      <w:r>
        <w:rPr>
          <w:rFonts w:cs="Miriam"/>
          <w:lang w:val="he-IL"/>
        </w:rPr>
        <w:pict>
          <v:rect id="_x0000_s1425" style="position:absolute;left:0;text-align:left;margin-left:464.35pt;margin-top:7.1pt;width:75.05pt;height:8.95pt;z-index:251659776" o:allowincell="f" filled="f" stroked="f" strokecolor="lime" strokeweight=".25pt">
            <v:textbox style="mso-next-textbox:#_x0000_s1425" inset="0,0,0,0">
              <w:txbxContent>
                <w:p w:rsidR="00847E09" w:rsidRDefault="00847E09">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עובד שהועסק ערב תחילתן של תקנות אלה בתקופת ניסיון במשרה המיועדת להעסקה לפי כתב מינוי בחוזה מיוחד מכוח סעיף 40 לחוק המינויים, יועבר ביום תחילתן של תקנות אלה להעסקה בהרשאה להעסקה לשעה לפי תקנות אלה וישלים את תקופת הניסיון שנקבעה לו.</w:t>
      </w:r>
    </w:p>
    <w:p w:rsidR="00847E09" w:rsidRDefault="00847E09">
      <w:pPr>
        <w:pStyle w:val="P00"/>
        <w:spacing w:before="72"/>
        <w:ind w:left="0" w:right="1134"/>
        <w:rPr>
          <w:rStyle w:val="default"/>
          <w:rFonts w:cs="FrankRuehl" w:hint="cs"/>
          <w:rtl/>
        </w:rPr>
      </w:pPr>
    </w:p>
    <w:p w:rsidR="00847E09" w:rsidRDefault="00847E09">
      <w:pPr>
        <w:pStyle w:val="P00"/>
        <w:spacing w:before="72"/>
        <w:ind w:left="0" w:right="1134"/>
        <w:rPr>
          <w:rStyle w:val="default"/>
          <w:rFonts w:cs="FrankRuehl" w:hint="cs"/>
          <w:rtl/>
        </w:rPr>
      </w:pPr>
    </w:p>
    <w:p w:rsidR="00847E09" w:rsidRDefault="00847E0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ט"ז בטבת התשס"ח (25 בדצמבר 2007)</w:t>
      </w:r>
      <w:r>
        <w:rPr>
          <w:rStyle w:val="default"/>
          <w:rFonts w:cs="FrankRuehl" w:hint="cs"/>
          <w:rtl/>
        </w:rPr>
        <w:tab/>
        <w:t>אהוד אולמרט</w:t>
      </w:r>
    </w:p>
    <w:p w:rsidR="00847E09" w:rsidRDefault="00847E09">
      <w:pPr>
        <w:pStyle w:val="sig-0"/>
        <w:tabs>
          <w:tab w:val="clear" w:pos="4820"/>
          <w:tab w:val="center" w:pos="5103"/>
        </w:tabs>
        <w:ind w:left="0" w:right="1134"/>
        <w:rPr>
          <w:rFonts w:cs="FrankRuehl" w:hint="cs"/>
          <w:sz w:val="22"/>
          <w:szCs w:val="22"/>
          <w:rtl/>
        </w:rPr>
      </w:pPr>
      <w:r>
        <w:rPr>
          <w:rFonts w:cs="FrankRuehl" w:hint="cs"/>
          <w:sz w:val="22"/>
          <w:szCs w:val="22"/>
          <w:rtl/>
        </w:rPr>
        <w:tab/>
        <w:t>ראש הממשלה</w:t>
      </w:r>
    </w:p>
    <w:p w:rsidR="00847E09" w:rsidRDefault="00847E09">
      <w:pPr>
        <w:pStyle w:val="sig-0"/>
        <w:tabs>
          <w:tab w:val="clear" w:pos="4820"/>
          <w:tab w:val="center" w:pos="5670"/>
        </w:tabs>
        <w:ind w:left="0" w:right="1134"/>
        <w:rPr>
          <w:rFonts w:cs="FrankRuehl" w:hint="cs"/>
          <w:sz w:val="26"/>
          <w:rtl/>
        </w:rPr>
      </w:pPr>
    </w:p>
    <w:p w:rsidR="00847E09" w:rsidRDefault="00847E09">
      <w:pPr>
        <w:pStyle w:val="sig-0"/>
        <w:tabs>
          <w:tab w:val="clear" w:pos="4820"/>
          <w:tab w:val="center" w:pos="5670"/>
        </w:tabs>
        <w:ind w:left="0" w:right="1134"/>
        <w:rPr>
          <w:rFonts w:cs="FrankRuehl" w:hint="cs"/>
          <w:sz w:val="26"/>
          <w:rtl/>
        </w:rPr>
      </w:pPr>
    </w:p>
    <w:p w:rsidR="00847E09" w:rsidRDefault="00847E09">
      <w:pPr>
        <w:pStyle w:val="sig-0"/>
        <w:ind w:left="0" w:right="1134"/>
        <w:rPr>
          <w:rFonts w:cs="FrankRuehl"/>
          <w:sz w:val="26"/>
          <w:rtl/>
        </w:rPr>
      </w:pPr>
    </w:p>
    <w:sectPr w:rsidR="00847E0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7395" w:rsidRDefault="002A7395">
      <w:r>
        <w:separator/>
      </w:r>
    </w:p>
  </w:endnote>
  <w:endnote w:type="continuationSeparator" w:id="0">
    <w:p w:rsidR="002A7395" w:rsidRDefault="002A7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7E09" w:rsidRDefault="00847E0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47E09" w:rsidRDefault="00847E0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47E09" w:rsidRDefault="00847E0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Z:\000000000000-law\yael\08-01-10\tav\999_887.doc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7E09" w:rsidRDefault="00847E0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85DB9">
      <w:rPr>
        <w:rFonts w:hAnsi="FrankRuehl" w:cs="FrankRuehl"/>
        <w:noProof/>
        <w:sz w:val="24"/>
        <w:szCs w:val="24"/>
        <w:rtl/>
      </w:rPr>
      <w:t>2</w:t>
    </w:r>
    <w:r>
      <w:rPr>
        <w:rFonts w:hAnsi="FrankRuehl" w:cs="FrankRuehl"/>
        <w:sz w:val="24"/>
        <w:szCs w:val="24"/>
        <w:rtl/>
      </w:rPr>
      <w:fldChar w:fldCharType="end"/>
    </w:r>
  </w:p>
  <w:p w:rsidR="00847E09" w:rsidRDefault="00847E0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47E09" w:rsidRDefault="00847E0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Z:\000000000000-law\yael\08-01-10\tav\999_887.doc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7395" w:rsidRDefault="002A7395">
      <w:pPr>
        <w:pStyle w:val="a5"/>
        <w:rPr>
          <w:rFonts w:cs="David"/>
          <w:sz w:val="24"/>
          <w:szCs w:val="24"/>
        </w:rPr>
      </w:pPr>
      <w:r>
        <w:separator/>
      </w:r>
    </w:p>
  </w:footnote>
  <w:footnote w:type="continuationSeparator" w:id="0">
    <w:p w:rsidR="002A7395" w:rsidRDefault="002A7395">
      <w:r>
        <w:continuationSeparator/>
      </w:r>
    </w:p>
  </w:footnote>
  <w:footnote w:id="1">
    <w:p w:rsidR="00847E09" w:rsidRDefault="00847E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Pr>
            <w:rStyle w:val="Hyperlink"/>
            <w:rFonts w:cs="FrankRuehl" w:hint="cs"/>
            <w:rtl/>
          </w:rPr>
          <w:t>ק"ת תשס"ח מס' 6639</w:t>
        </w:r>
      </w:hyperlink>
      <w:r>
        <w:rPr>
          <w:rFonts w:cs="FrankRuehl" w:hint="cs"/>
          <w:rtl/>
        </w:rPr>
        <w:t xml:space="preserve"> מיום 9.1.2008 עמ' 340.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7E09" w:rsidRDefault="00847E0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47E09" w:rsidRDefault="00847E0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47E09" w:rsidRDefault="00847E0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7E09" w:rsidRDefault="00847E0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שירות הביטחון הכללי (העסקה לתקופת ניסיון במשרות המיועדות להעסקה לפי כתב מינוי), תשס"ח-2008</w:t>
    </w:r>
  </w:p>
  <w:p w:rsidR="00847E09" w:rsidRDefault="00847E0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47E09" w:rsidRDefault="00847E0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94980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54E3"/>
    <w:rsid w:val="002A7395"/>
    <w:rsid w:val="005E6FDD"/>
    <w:rsid w:val="00685DB9"/>
    <w:rsid w:val="0075414B"/>
    <w:rsid w:val="00847E09"/>
    <w:rsid w:val="00CF031C"/>
    <w:rsid w:val="00DD54E3"/>
    <w:rsid w:val="00E7348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4739AAA-1710-46AF-A789-409CAF7F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6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בריאות</vt:lpstr>
    </vt:vector>
  </TitlesOfParts>
  <Company/>
  <LinksUpToDate>false</LinksUpToDate>
  <CharactersWithSpaces>3246</CharactersWithSpaces>
  <SharedDoc>false</SharedDoc>
  <HLinks>
    <vt:vector size="36" baseType="variant">
      <vt:variant>
        <vt:i4>196634</vt:i4>
      </vt:variant>
      <vt:variant>
        <vt:i4>27</vt:i4>
      </vt:variant>
      <vt:variant>
        <vt:i4>0</vt:i4>
      </vt:variant>
      <vt:variant>
        <vt:i4>5</vt:i4>
      </vt:variant>
      <vt:variant>
        <vt:lpwstr/>
      </vt:variant>
      <vt:variant>
        <vt:lpwstr>Seif5</vt:lpwstr>
      </vt:variant>
      <vt:variant>
        <vt:i4>196634</vt:i4>
      </vt:variant>
      <vt:variant>
        <vt:i4>21</vt:i4>
      </vt:variant>
      <vt:variant>
        <vt:i4>0</vt:i4>
      </vt:variant>
      <vt:variant>
        <vt:i4>5</vt:i4>
      </vt:variant>
      <vt:variant>
        <vt:lpwstr/>
      </vt:variant>
      <vt:variant>
        <vt:lpwstr>Seif4</vt:lpwstr>
      </vt:variant>
      <vt:variant>
        <vt:i4>196634</vt:i4>
      </vt:variant>
      <vt:variant>
        <vt:i4>15</vt:i4>
      </vt:variant>
      <vt:variant>
        <vt:i4>0</vt:i4>
      </vt:variant>
      <vt:variant>
        <vt:i4>5</vt:i4>
      </vt:variant>
      <vt:variant>
        <vt:lpwstr/>
      </vt:variant>
      <vt:variant>
        <vt:lpwstr>Seif3</vt:lpwstr>
      </vt:variant>
      <vt:variant>
        <vt:i4>196634</vt:i4>
      </vt:variant>
      <vt:variant>
        <vt:i4>9</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8126471</vt:i4>
      </vt:variant>
      <vt:variant>
        <vt:i4>0</vt:i4>
      </vt:variant>
      <vt:variant>
        <vt:i4>0</vt:i4>
      </vt:variant>
      <vt:variant>
        <vt:i4>5</vt:i4>
      </vt:variant>
      <vt:variant>
        <vt:lpwstr>http://www.nevo.co.il/Law_word/law06/tak-6639.pdf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בריאות</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שירות הביטחון הכללי (העסקה לתקופת ניסיון במשרות המיועדות להעסקה לפי כתב מינוי), תשס"ח-2008</vt:lpwstr>
  </property>
  <property fmtid="{D5CDD505-2E9C-101B-9397-08002B2CF9AE}" pid="4" name="LAWNUMBER">
    <vt:lpwstr>0887</vt:lpwstr>
  </property>
  <property fmtid="{D5CDD505-2E9C-101B-9397-08002B2CF9AE}" pid="5" name="TYPE">
    <vt:lpwstr>01</vt:lpwstr>
  </property>
  <property fmtid="{D5CDD505-2E9C-101B-9397-08002B2CF9AE}" pid="6" name="CHNAME">
    <vt:lpwstr>ביטחון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http://www.nevo.co.il/Law_word/law06/tak-6639.pdf;רשומות – תקנות כלליות#פורסמו ק"ת תשס"ח מס' 6639#מיום 9.1.2008#עמ' 340</vt:lpwstr>
  </property>
  <property fmtid="{D5CDD505-2E9C-101B-9397-08002B2CF9AE}" pid="22" name="NOSE11">
    <vt:lpwstr>בטחון</vt:lpwstr>
  </property>
  <property fmtid="{D5CDD505-2E9C-101B-9397-08002B2CF9AE}" pid="23" name="NOSE21">
    <vt:lpwstr>שירות הביטחון הכללי</vt:lpwstr>
  </property>
  <property fmtid="{D5CDD505-2E9C-101B-9397-08002B2CF9AE}" pid="24" name="NOSE31">
    <vt:lpwstr>העסקה ועובדי השירות</vt:lpwstr>
  </property>
  <property fmtid="{D5CDD505-2E9C-101B-9397-08002B2CF9AE}" pid="25" name="NOSE41">
    <vt:lpwstr/>
  </property>
  <property fmtid="{D5CDD505-2E9C-101B-9397-08002B2CF9AE}" pid="26" name="NOSE12">
    <vt:lpwstr>עבודה</vt:lpwstr>
  </property>
  <property fmtid="{D5CDD505-2E9C-101B-9397-08002B2CF9AE}" pid="27" name="NOSE22">
    <vt:lpwstr>העסקת קבוצות מסוימות </vt:lpwstr>
  </property>
  <property fmtid="{D5CDD505-2E9C-101B-9397-08002B2CF9AE}" pid="28" name="NOSE32">
    <vt:lpwstr>כוחות הבטחון</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שירות הביטחון הכללי</vt:lpwstr>
  </property>
  <property fmtid="{D5CDD505-2E9C-101B-9397-08002B2CF9AE}" pid="63" name="MEKOR_SAIF1">
    <vt:lpwstr>2XגX;21XאX</vt:lpwstr>
  </property>
</Properties>
</file>