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711" w:rsidRDefault="004D7711" w:rsidP="000D02F2">
      <w:pPr>
        <w:pStyle w:val="big-header"/>
        <w:ind w:left="0" w:right="1134"/>
        <w:rPr>
          <w:rStyle w:val="default"/>
          <w:rFonts w:hint="cs"/>
          <w:sz w:val="22"/>
          <w:szCs w:val="22"/>
          <w:rtl/>
        </w:rPr>
      </w:pPr>
      <w:r>
        <w:rPr>
          <w:rFonts w:hint="cs"/>
          <w:rtl/>
        </w:rPr>
        <w:t>תקנות שירות הביטחון הכללי (חפץ שנתפס), תשס"ד-2004</w:t>
      </w:r>
    </w:p>
    <w:p w:rsidR="00FC79C8" w:rsidRPr="00FC79C8" w:rsidRDefault="00FC79C8" w:rsidP="00FC79C8">
      <w:pPr>
        <w:spacing w:line="320" w:lineRule="auto"/>
        <w:jc w:val="left"/>
        <w:rPr>
          <w:rStyle w:val="default"/>
          <w:rFonts w:cs="FrankRuehl"/>
          <w:sz w:val="22"/>
          <w:rtl/>
        </w:rPr>
      </w:pPr>
    </w:p>
    <w:p w:rsidR="00FC79C8" w:rsidRPr="00FC79C8" w:rsidRDefault="00FC79C8" w:rsidP="00FC79C8">
      <w:pPr>
        <w:spacing w:line="320" w:lineRule="auto"/>
        <w:jc w:val="left"/>
        <w:rPr>
          <w:rStyle w:val="default"/>
          <w:rFonts w:cs="Miriam" w:hint="cs"/>
          <w:sz w:val="22"/>
          <w:szCs w:val="22"/>
          <w:rtl/>
        </w:rPr>
      </w:pPr>
      <w:r w:rsidRPr="00FC79C8">
        <w:rPr>
          <w:rStyle w:val="default"/>
          <w:rFonts w:cs="Miriam"/>
          <w:sz w:val="22"/>
          <w:szCs w:val="22"/>
          <w:rtl/>
        </w:rPr>
        <w:t>בטחון</w:t>
      </w:r>
      <w:r w:rsidRPr="00FC79C8">
        <w:rPr>
          <w:rStyle w:val="default"/>
          <w:rFonts w:cs="FrankRuehl"/>
          <w:sz w:val="22"/>
          <w:rtl/>
        </w:rPr>
        <w:t xml:space="preserve"> – שירות הביטחון הכללי</w:t>
      </w:r>
    </w:p>
    <w:p w:rsidR="004D7711" w:rsidRDefault="00FC79C8">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D7711">
        <w:tblPrEx>
          <w:tblCellMar>
            <w:top w:w="0" w:type="dxa"/>
            <w:bottom w:w="0" w:type="dxa"/>
          </w:tblCellMar>
        </w:tblPrEx>
        <w:trPr>
          <w:jc w:val="right"/>
        </w:trPr>
        <w:tc>
          <w:tcPr>
            <w:tcW w:w="850" w:type="dxa"/>
          </w:tcPr>
          <w:p w:rsidR="004D7711" w:rsidRDefault="004D771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D02F2">
              <w:rPr>
                <w:noProof/>
                <w:sz w:val="24"/>
                <w:rtl/>
              </w:rPr>
              <w:t>2</w:t>
            </w:r>
            <w:r>
              <w:rPr>
                <w:sz w:val="24"/>
                <w:rtl/>
              </w:rPr>
              <w:fldChar w:fldCharType="end"/>
            </w:r>
          </w:p>
        </w:tc>
        <w:tc>
          <w:tcPr>
            <w:tcW w:w="567" w:type="dxa"/>
          </w:tcPr>
          <w:p w:rsidR="004D7711" w:rsidRDefault="004D7711">
            <w:pPr>
              <w:spacing w:line="240" w:lineRule="auto"/>
              <w:jc w:val="left"/>
              <w:rPr>
                <w:sz w:val="24"/>
              </w:rPr>
            </w:pPr>
            <w:hyperlink w:anchor="Seif0" w:tooltip="החזקת חפץ שנתפס" w:history="1">
              <w:r>
                <w:rPr>
                  <w:rStyle w:val="Hyperlink"/>
                </w:rPr>
                <w:t>Go</w:t>
              </w:r>
            </w:hyperlink>
          </w:p>
        </w:tc>
        <w:tc>
          <w:tcPr>
            <w:tcW w:w="5669" w:type="dxa"/>
          </w:tcPr>
          <w:p w:rsidR="004D7711" w:rsidRDefault="004D7711">
            <w:pPr>
              <w:spacing w:line="240" w:lineRule="auto"/>
              <w:jc w:val="left"/>
              <w:rPr>
                <w:sz w:val="24"/>
                <w:rtl/>
              </w:rPr>
            </w:pPr>
            <w:r>
              <w:rPr>
                <w:sz w:val="24"/>
                <w:rtl/>
              </w:rPr>
              <w:t>החזקת חפץ שנתפס</w:t>
            </w:r>
          </w:p>
        </w:tc>
        <w:tc>
          <w:tcPr>
            <w:tcW w:w="1247" w:type="dxa"/>
          </w:tcPr>
          <w:p w:rsidR="004D7711" w:rsidRDefault="004D7711">
            <w:pPr>
              <w:spacing w:line="240" w:lineRule="auto"/>
              <w:jc w:val="left"/>
              <w:rPr>
                <w:sz w:val="24"/>
              </w:rPr>
            </w:pPr>
            <w:r>
              <w:rPr>
                <w:sz w:val="24"/>
                <w:rtl/>
              </w:rPr>
              <w:t xml:space="preserve">סעיף 1 </w:t>
            </w:r>
          </w:p>
        </w:tc>
      </w:tr>
      <w:tr w:rsidR="004D7711">
        <w:tblPrEx>
          <w:tblCellMar>
            <w:top w:w="0" w:type="dxa"/>
            <w:bottom w:w="0" w:type="dxa"/>
          </w:tblCellMar>
        </w:tblPrEx>
        <w:trPr>
          <w:jc w:val="right"/>
        </w:trPr>
        <w:tc>
          <w:tcPr>
            <w:tcW w:w="850" w:type="dxa"/>
          </w:tcPr>
          <w:p w:rsidR="004D7711" w:rsidRDefault="004D771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D02F2">
              <w:rPr>
                <w:noProof/>
                <w:sz w:val="24"/>
                <w:rtl/>
              </w:rPr>
              <w:t>2</w:t>
            </w:r>
            <w:r>
              <w:rPr>
                <w:sz w:val="24"/>
                <w:rtl/>
              </w:rPr>
              <w:fldChar w:fldCharType="end"/>
            </w:r>
          </w:p>
        </w:tc>
        <w:tc>
          <w:tcPr>
            <w:tcW w:w="567" w:type="dxa"/>
          </w:tcPr>
          <w:p w:rsidR="004D7711" w:rsidRDefault="004D7711">
            <w:pPr>
              <w:spacing w:line="240" w:lineRule="auto"/>
              <w:jc w:val="left"/>
              <w:rPr>
                <w:sz w:val="24"/>
              </w:rPr>
            </w:pPr>
            <w:hyperlink w:anchor="Seif1" w:tooltip="תפיסת חפץ לצמיתות" w:history="1">
              <w:r>
                <w:rPr>
                  <w:rStyle w:val="Hyperlink"/>
                </w:rPr>
                <w:t>Go</w:t>
              </w:r>
            </w:hyperlink>
          </w:p>
        </w:tc>
        <w:tc>
          <w:tcPr>
            <w:tcW w:w="5669" w:type="dxa"/>
          </w:tcPr>
          <w:p w:rsidR="004D7711" w:rsidRDefault="004D7711">
            <w:pPr>
              <w:spacing w:line="240" w:lineRule="auto"/>
              <w:jc w:val="left"/>
              <w:rPr>
                <w:sz w:val="24"/>
                <w:rtl/>
              </w:rPr>
            </w:pPr>
            <w:r>
              <w:rPr>
                <w:sz w:val="24"/>
                <w:rtl/>
              </w:rPr>
              <w:t>תפיסת חפץ לצמיתות</w:t>
            </w:r>
          </w:p>
        </w:tc>
        <w:tc>
          <w:tcPr>
            <w:tcW w:w="1247" w:type="dxa"/>
          </w:tcPr>
          <w:p w:rsidR="004D7711" w:rsidRDefault="004D7711">
            <w:pPr>
              <w:spacing w:line="240" w:lineRule="auto"/>
              <w:jc w:val="left"/>
              <w:rPr>
                <w:sz w:val="24"/>
              </w:rPr>
            </w:pPr>
            <w:r>
              <w:rPr>
                <w:sz w:val="24"/>
                <w:rtl/>
              </w:rPr>
              <w:t xml:space="preserve">סעיף 2 </w:t>
            </w:r>
          </w:p>
        </w:tc>
      </w:tr>
      <w:tr w:rsidR="004D7711">
        <w:tblPrEx>
          <w:tblCellMar>
            <w:top w:w="0" w:type="dxa"/>
            <w:bottom w:w="0" w:type="dxa"/>
          </w:tblCellMar>
        </w:tblPrEx>
        <w:trPr>
          <w:jc w:val="right"/>
        </w:trPr>
        <w:tc>
          <w:tcPr>
            <w:tcW w:w="850" w:type="dxa"/>
          </w:tcPr>
          <w:p w:rsidR="004D7711" w:rsidRDefault="004D771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D02F2">
              <w:rPr>
                <w:noProof/>
                <w:sz w:val="24"/>
                <w:rtl/>
              </w:rPr>
              <w:t>2</w:t>
            </w:r>
            <w:r>
              <w:rPr>
                <w:sz w:val="24"/>
                <w:rtl/>
              </w:rPr>
              <w:fldChar w:fldCharType="end"/>
            </w:r>
          </w:p>
        </w:tc>
        <w:tc>
          <w:tcPr>
            <w:tcW w:w="567" w:type="dxa"/>
          </w:tcPr>
          <w:p w:rsidR="004D7711" w:rsidRDefault="004D7711">
            <w:pPr>
              <w:spacing w:line="240" w:lineRule="auto"/>
              <w:jc w:val="left"/>
              <w:rPr>
                <w:sz w:val="24"/>
              </w:rPr>
            </w:pPr>
            <w:hyperlink w:anchor="Seif2" w:tooltip="חפץ שנתפס לצמיתות, שאבד או ניזוק" w:history="1">
              <w:r>
                <w:rPr>
                  <w:rStyle w:val="Hyperlink"/>
                </w:rPr>
                <w:t>Go</w:t>
              </w:r>
            </w:hyperlink>
          </w:p>
        </w:tc>
        <w:tc>
          <w:tcPr>
            <w:tcW w:w="5669" w:type="dxa"/>
          </w:tcPr>
          <w:p w:rsidR="004D7711" w:rsidRDefault="004D7711">
            <w:pPr>
              <w:spacing w:line="240" w:lineRule="auto"/>
              <w:jc w:val="left"/>
              <w:rPr>
                <w:sz w:val="24"/>
                <w:rtl/>
              </w:rPr>
            </w:pPr>
            <w:r>
              <w:rPr>
                <w:sz w:val="24"/>
                <w:rtl/>
              </w:rPr>
              <w:t>חפץ שנתפס לצמיתות, שאבד או ניזוק</w:t>
            </w:r>
          </w:p>
        </w:tc>
        <w:tc>
          <w:tcPr>
            <w:tcW w:w="1247" w:type="dxa"/>
          </w:tcPr>
          <w:p w:rsidR="004D7711" w:rsidRDefault="004D7711">
            <w:pPr>
              <w:spacing w:line="240" w:lineRule="auto"/>
              <w:jc w:val="left"/>
              <w:rPr>
                <w:sz w:val="24"/>
              </w:rPr>
            </w:pPr>
            <w:r>
              <w:rPr>
                <w:sz w:val="24"/>
                <w:rtl/>
              </w:rPr>
              <w:t xml:space="preserve">סעיף 3 </w:t>
            </w:r>
          </w:p>
        </w:tc>
      </w:tr>
    </w:tbl>
    <w:p w:rsidR="000D02F2" w:rsidRDefault="000D02F2" w:rsidP="000D02F2">
      <w:pPr>
        <w:pStyle w:val="big-header"/>
        <w:ind w:left="0" w:right="1134"/>
        <w:rPr>
          <w:rFonts w:hint="cs"/>
          <w:rtl/>
        </w:rPr>
      </w:pPr>
    </w:p>
    <w:p w:rsidR="000D02F2" w:rsidRDefault="000D02F2" w:rsidP="000D02F2">
      <w:pPr>
        <w:pStyle w:val="big-header"/>
        <w:ind w:left="0" w:right="1134"/>
        <w:rPr>
          <w:rStyle w:val="default"/>
          <w:rFonts w:hint="cs"/>
          <w:sz w:val="22"/>
          <w:szCs w:val="22"/>
          <w:rtl/>
        </w:rPr>
      </w:pPr>
      <w:r>
        <w:rPr>
          <w:rtl/>
        </w:rPr>
        <w:br w:type="page"/>
      </w:r>
      <w:r>
        <w:rPr>
          <w:rFonts w:hint="cs"/>
          <w:rtl/>
        </w:rPr>
        <w:lastRenderedPageBreak/>
        <w:t>תקנות שירות הביטחון הכללי (חפץ שנתפס), תשס"ד-2004</w:t>
      </w:r>
      <w:r>
        <w:rPr>
          <w:rStyle w:val="default"/>
          <w:sz w:val="22"/>
          <w:szCs w:val="22"/>
          <w:rtl/>
        </w:rPr>
        <w:footnoteReference w:customMarkFollows="1" w:id="1"/>
        <w:t>*</w:t>
      </w:r>
    </w:p>
    <w:p w:rsidR="004D7711" w:rsidRDefault="004D7711">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9(ג) ו-21(א) לחוק שירות הביטחון הכללי, התשס"ב-2002 (להלן </w:t>
      </w:r>
      <w:r>
        <w:rPr>
          <w:rStyle w:val="default"/>
          <w:rFonts w:cs="FrankRuehl"/>
          <w:rtl/>
        </w:rPr>
        <w:t>–</w:t>
      </w:r>
      <w:r>
        <w:rPr>
          <w:rStyle w:val="default"/>
          <w:rFonts w:cs="FrankRuehl" w:hint="cs"/>
          <w:rtl/>
        </w:rPr>
        <w:t xml:space="preserve"> החוק), באישור ועדת השרים ובאישור ועדת הכנסת לעניני השירות, אני מתקין תקנות אלה:</w:t>
      </w:r>
    </w:p>
    <w:p w:rsidR="004D7711" w:rsidRDefault="004D771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2pt;margin-top:8.05pt;width:77.55pt;height:9.2pt;z-index:251656704" o:allowincell="f" filled="f" stroked="f" strokecolor="lime" strokeweight=".25pt">
            <v:textbox style="mso-next-textbox:#_x0000_s1026" inset="0,0,0,0">
              <w:txbxContent>
                <w:p w:rsidR="004D7711" w:rsidRDefault="004D7711">
                  <w:pPr>
                    <w:spacing w:line="160" w:lineRule="exact"/>
                    <w:jc w:val="left"/>
                    <w:rPr>
                      <w:rFonts w:cs="Miriam" w:hint="cs"/>
                      <w:noProof/>
                      <w:szCs w:val="18"/>
                      <w:rtl/>
                    </w:rPr>
                  </w:pPr>
                  <w:r>
                    <w:rPr>
                      <w:rFonts w:cs="Miriam" w:hint="cs"/>
                      <w:szCs w:val="18"/>
                      <w:rtl/>
                    </w:rPr>
                    <w:t>החזקת חפץ שנתפס</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נתפס חפץ, כאמור בסעיף 9(א) או (ב) לחוק, יוחזר לאדם שממנו נלקח בהקדם האפשרי לאחר שהסתיימה עילת התפיסה, ולא יאוחר מ-10 ימים מיום תפיסתו.</w:t>
      </w:r>
    </w:p>
    <w:p w:rsidR="004D7711" w:rsidRDefault="004D77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האגף בשירות המופקד על הנושא רשאי להאריך את התקופה האמורה בתקנת משנה (א) לתקופה או לתקופות נוספות שלא יעלו על 10 ימים כל אחת, ובלבד שסך כל תקופת התפיסה לא תעלה על 30 ימים מיום תפיסת החפץ.</w:t>
      </w:r>
    </w:p>
    <w:p w:rsidR="004D7711" w:rsidRDefault="004D77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השירות רשאי, מנימוקים שיירשמו, להאריך את התקופה האמורה בתקנת משנה (ב) לתקופה או לתקופות נוספות שלא יעלו על 30 ימים כל אחת, ובלבד שסך כל תקופת התפיסה לא תעלה על 90 ימים מיום תפיסת החפץ.</w:t>
      </w:r>
    </w:p>
    <w:p w:rsidR="004D7711" w:rsidRDefault="004D7711">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8.5pt;width:1in;height:19.45pt;z-index:251657728" filled="f" stroked="f">
            <v:textbox style="mso-next-textbox:#_x0000_s1036" inset="1mm,0,1mm,0">
              <w:txbxContent>
                <w:p w:rsidR="004D7711" w:rsidRDefault="004D7711">
                  <w:pPr>
                    <w:pStyle w:val="3"/>
                    <w:rPr>
                      <w:rFonts w:hint="cs"/>
                      <w:rtl/>
                    </w:rPr>
                  </w:pPr>
                  <w:r>
                    <w:rPr>
                      <w:rFonts w:hint="cs"/>
                      <w:rtl/>
                    </w:rPr>
                    <w:t>תפיסת חפץ לצמיתות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ראש השירות רשאי, מנימוקים של ביטחון המדינה, להחליט כי חפץ שנתפס לפי סעיף 9(א) או 9(ב) לחוק לא יוחזר לאדם שממנו נלקח, והוא יוחזק לצמיתות או יושמד; החליט ראש השירות כאמור, תימסר על כך הודעה בכתב לאדם שממנו נלקח בתוך שלושים ימים מיום החלטת ראש השירות, ובלבד שאם החליט ראש השירות על השמדת החפץ תימסא הודעה כאמור 14 ימים לפחות לפני השמדתו.</w:t>
      </w:r>
    </w:p>
    <w:p w:rsidR="004D7711" w:rsidRDefault="004D77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ראש השירות כי מנימוקים של ביטחון המדינה לא ניתן למסור הודעה כאמור בתקנת משנה (א), רשאי ראש השירות, באישור היועץ המשפטי לממשלה, להחליט כי לא תימסר הודעה וכי ינהגו בחפץ בדרך שיורה.</w:t>
      </w:r>
    </w:p>
    <w:p w:rsidR="004D7711" w:rsidRDefault="004D7711">
      <w:pPr>
        <w:pStyle w:val="P00"/>
        <w:spacing w:before="72"/>
        <w:ind w:left="0" w:right="1134"/>
        <w:rPr>
          <w:rStyle w:val="default"/>
          <w:rFonts w:cs="FrankRuehl" w:hint="cs"/>
          <w:rtl/>
        </w:rPr>
      </w:pPr>
      <w:bookmarkStart w:id="2" w:name="Seif2"/>
      <w:bookmarkEnd w:id="2"/>
      <w:r>
        <w:rPr>
          <w:rFonts w:cs="Miriam"/>
          <w:szCs w:val="32"/>
          <w:rtl/>
          <w:lang w:val="he-IL"/>
        </w:rPr>
        <w:pict>
          <v:shape id="_x0000_s1203" type="#_x0000_t202" style="position:absolute;left:0;text-align:left;margin-left:462pt;margin-top:8.5pt;width:80.25pt;height:25.35pt;z-index:251658752" filled="f" stroked="f">
            <v:textbox style="mso-next-textbox:#_x0000_s1203" inset="1mm,0,1mm,0">
              <w:txbxContent>
                <w:p w:rsidR="004D7711" w:rsidRDefault="004D7711">
                  <w:pPr>
                    <w:pStyle w:val="3"/>
                    <w:rPr>
                      <w:rFonts w:hint="cs"/>
                      <w:rtl/>
                    </w:rPr>
                  </w:pPr>
                  <w:r>
                    <w:rPr>
                      <w:rFonts w:hint="cs"/>
                      <w:rtl/>
                    </w:rPr>
                    <w:t>חפץ שנתפס לצמיתות, שאבד או ניזוק</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נתפס חפץ לצמיתות או הושמד או אבד או ניזוק, רשאי ראש השירות להחליט כי יוחזר תחתיו חפץ זהה או שווה ערך או כי השירות יפצה את האדם שממנו נלקח החפץ בסכום שיקבע ראש השירות, בהתחשב בשווי החפץ או הנזק שנגרם.</w:t>
      </w:r>
    </w:p>
    <w:p w:rsidR="004D7711" w:rsidRDefault="004D7711">
      <w:pPr>
        <w:pStyle w:val="P00"/>
        <w:spacing w:before="72"/>
        <w:ind w:left="0" w:right="1134"/>
        <w:rPr>
          <w:rStyle w:val="default"/>
          <w:rFonts w:cs="FrankRuehl" w:hint="cs"/>
          <w:rtl/>
        </w:rPr>
      </w:pPr>
    </w:p>
    <w:p w:rsidR="004D7711" w:rsidRDefault="004D7711">
      <w:pPr>
        <w:pStyle w:val="P00"/>
        <w:spacing w:before="72"/>
        <w:ind w:left="0" w:right="1134"/>
        <w:rPr>
          <w:rStyle w:val="default"/>
          <w:rFonts w:cs="FrankRuehl" w:hint="cs"/>
          <w:rtl/>
        </w:rPr>
      </w:pPr>
    </w:p>
    <w:p w:rsidR="004D7711" w:rsidRDefault="004D771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כ"א באייר התשס"ד (12 במאי 2004)</w:t>
      </w:r>
      <w:r>
        <w:rPr>
          <w:rStyle w:val="default"/>
          <w:rFonts w:cs="FrankRuehl" w:hint="cs"/>
          <w:rtl/>
        </w:rPr>
        <w:tab/>
        <w:t>אריאל שרון</w:t>
      </w:r>
    </w:p>
    <w:p w:rsidR="004D7711" w:rsidRDefault="004D771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ראש הממשלה</w:t>
      </w:r>
    </w:p>
    <w:p w:rsidR="004D7711" w:rsidRDefault="004D7711" w:rsidP="000D02F2">
      <w:pPr>
        <w:pStyle w:val="P00"/>
        <w:spacing w:before="72"/>
        <w:ind w:left="0" w:right="1134"/>
        <w:rPr>
          <w:rStyle w:val="default"/>
          <w:rFonts w:cs="FrankRuehl" w:hint="cs"/>
          <w:rtl/>
        </w:rPr>
      </w:pPr>
    </w:p>
    <w:p w:rsidR="000D02F2" w:rsidRDefault="000D02F2" w:rsidP="000D02F2">
      <w:pPr>
        <w:pStyle w:val="P00"/>
        <w:spacing w:before="72"/>
        <w:ind w:left="0" w:right="1134"/>
        <w:rPr>
          <w:rStyle w:val="default"/>
          <w:rFonts w:cs="FrankRuehl" w:hint="cs"/>
          <w:rtl/>
        </w:rPr>
      </w:pPr>
    </w:p>
    <w:p w:rsidR="000D02F2" w:rsidRDefault="000D02F2" w:rsidP="000D02F2">
      <w:pPr>
        <w:pStyle w:val="P00"/>
        <w:spacing w:before="72"/>
        <w:ind w:left="0" w:right="1134"/>
        <w:rPr>
          <w:rStyle w:val="default"/>
          <w:rFonts w:cs="FrankRuehl" w:hint="cs"/>
          <w:rtl/>
        </w:rPr>
      </w:pPr>
    </w:p>
    <w:sectPr w:rsidR="000D02F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AD4" w:rsidRDefault="00366AD4">
      <w:r>
        <w:separator/>
      </w:r>
    </w:p>
  </w:endnote>
  <w:endnote w:type="continuationSeparator" w:id="0">
    <w:p w:rsidR="00366AD4" w:rsidRDefault="0036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7711" w:rsidRDefault="004D77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D7711" w:rsidRDefault="004D77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D7711" w:rsidRDefault="004D77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02F2">
      <w:rPr>
        <w:rFonts w:cs="TopType Jerushalmi"/>
        <w:noProof/>
        <w:color w:val="000000"/>
        <w:sz w:val="14"/>
        <w:szCs w:val="14"/>
      </w:rPr>
      <w:t>D:\Yael\hakika\Revadim</w:t>
    </w:r>
    <w:r w:rsidR="000D02F2">
      <w:rPr>
        <w:rFonts w:cs="TopType Jerushalmi"/>
        <w:noProof/>
        <w:color w:val="000000"/>
        <w:sz w:val="14"/>
        <w:szCs w:val="14"/>
        <w:rtl/>
      </w:rPr>
      <w:t>\קישורים\999_321.</w:t>
    </w:r>
    <w:r w:rsidR="000D02F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7711" w:rsidRDefault="004D77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5A02">
      <w:rPr>
        <w:rFonts w:hAnsi="FrankRuehl" w:cs="FrankRuehl"/>
        <w:noProof/>
        <w:sz w:val="24"/>
        <w:szCs w:val="24"/>
        <w:rtl/>
      </w:rPr>
      <w:t>2</w:t>
    </w:r>
    <w:r>
      <w:rPr>
        <w:rFonts w:hAnsi="FrankRuehl" w:cs="FrankRuehl"/>
        <w:sz w:val="24"/>
        <w:szCs w:val="24"/>
        <w:rtl/>
      </w:rPr>
      <w:fldChar w:fldCharType="end"/>
    </w:r>
  </w:p>
  <w:p w:rsidR="004D7711" w:rsidRDefault="004D77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D7711" w:rsidRDefault="004D77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02F2">
      <w:rPr>
        <w:rFonts w:cs="TopType Jerushalmi"/>
        <w:noProof/>
        <w:color w:val="000000"/>
        <w:sz w:val="14"/>
        <w:szCs w:val="14"/>
      </w:rPr>
      <w:t>D:\Yael\hakika\Revadim</w:t>
    </w:r>
    <w:r w:rsidR="000D02F2">
      <w:rPr>
        <w:rFonts w:cs="TopType Jerushalmi"/>
        <w:noProof/>
        <w:color w:val="000000"/>
        <w:sz w:val="14"/>
        <w:szCs w:val="14"/>
        <w:rtl/>
      </w:rPr>
      <w:t>\קישורים\999_321.</w:t>
    </w:r>
    <w:r w:rsidR="000D02F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AD4" w:rsidRDefault="00366AD4" w:rsidP="000D02F2">
      <w:pPr>
        <w:spacing w:before="60" w:line="240" w:lineRule="auto"/>
        <w:ind w:right="1134"/>
      </w:pPr>
      <w:r>
        <w:separator/>
      </w:r>
    </w:p>
  </w:footnote>
  <w:footnote w:type="continuationSeparator" w:id="0">
    <w:p w:rsidR="00366AD4" w:rsidRDefault="00366AD4">
      <w:r>
        <w:continuationSeparator/>
      </w:r>
    </w:p>
  </w:footnote>
  <w:footnote w:id="1">
    <w:p w:rsidR="000D02F2" w:rsidRDefault="000D02F2" w:rsidP="000D02F2">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sz w:val="20"/>
        </w:rPr>
        <w:t>*</w:t>
      </w:r>
      <w:r>
        <w:rPr>
          <w:rFonts w:hint="cs"/>
          <w:sz w:val="20"/>
          <w:rtl/>
        </w:rPr>
        <w:t xml:space="preserve"> פורסמו </w:t>
      </w:r>
      <w:hyperlink r:id="rId1" w:history="1">
        <w:r w:rsidRPr="00EA09BD">
          <w:rPr>
            <w:rStyle w:val="Hyperlink"/>
            <w:rFonts w:hint="cs"/>
            <w:sz w:val="20"/>
            <w:rtl/>
          </w:rPr>
          <w:t>ק"ת תשס"ד מס' 6331</w:t>
        </w:r>
      </w:hyperlink>
      <w:r w:rsidRPr="00EA09BD">
        <w:rPr>
          <w:rFonts w:hint="cs"/>
          <w:sz w:val="20"/>
          <w:rtl/>
        </w:rPr>
        <w:t xml:space="preserve"> מיום 28.7.2004</w:t>
      </w:r>
      <w:r>
        <w:rPr>
          <w:rFonts w:hint="cs"/>
          <w:sz w:val="20"/>
          <w:rtl/>
        </w:rPr>
        <w:t xml:space="preserve"> עמ' 833.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7711" w:rsidRDefault="004D77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4D7711" w:rsidRDefault="004D77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7711" w:rsidRDefault="004D771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7711" w:rsidRDefault="004D771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(חפץ שנתפס), תשס"ד-2004</w:t>
    </w:r>
  </w:p>
  <w:p w:rsidR="004D7711" w:rsidRDefault="004D77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7711" w:rsidRDefault="004D771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9C8"/>
    <w:rsid w:val="000D02F2"/>
    <w:rsid w:val="002F17C6"/>
    <w:rsid w:val="00366AD4"/>
    <w:rsid w:val="004D7711"/>
    <w:rsid w:val="00825A02"/>
    <w:rsid w:val="00C56971"/>
    <w:rsid w:val="00DB028A"/>
    <w:rsid w:val="00EA09BD"/>
    <w:rsid w:val="00FB4B6B"/>
    <w:rsid w:val="00FC79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9B663412-766F-4DBA-A9EA-4E62100B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1959</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http://www.nevo.co.il/Law_word/law06/TAK-6331.pdf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(חפץ שנתפס), תשס"ד-2004</vt:lpwstr>
  </property>
  <property fmtid="{D5CDD505-2E9C-101B-9397-08002B2CF9AE}" pid="4" name="LAWNUMBER">
    <vt:lpwstr>0321</vt:lpwstr>
  </property>
  <property fmtid="{D5CDD505-2E9C-101B-9397-08002B2CF9AE}" pid="5" name="TYPE">
    <vt:lpwstr>01</vt:lpwstr>
  </property>
  <property fmtid="{D5CDD505-2E9C-101B-9397-08002B2CF9AE}" pid="6" name="CHNAME">
    <vt:lpwstr>ביטחון</vt:lpwstr>
  </property>
  <property fmtid="{D5CDD505-2E9C-101B-9397-08002B2CF9AE}" pid="7" name="LINKK1">
    <vt:lpwstr>http://www.nevo.co.il/Law_word/law06/tak-6331.pdf;רשומות – תקנות כלליות#פורסמו ק"ת תשס"ד מס' 6331#מיום 28.7.2004#עמ' 832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בטחון</vt:lpwstr>
  </property>
  <property fmtid="{D5CDD505-2E9C-101B-9397-08002B2CF9AE}" pid="18" name="NOSE21">
    <vt:lpwstr>שירות הביטחון הכללי</vt:lpwstr>
  </property>
  <property fmtid="{D5CDD505-2E9C-101B-9397-08002B2CF9AE}" pid="19" name="NOSE31">
    <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שירות הביטחון הכללי</vt:lpwstr>
  </property>
  <property fmtid="{D5CDD505-2E9C-101B-9397-08002B2CF9AE}" pid="58" name="MEKOR_SAIF1">
    <vt:lpwstr>9XגX;21XאX</vt:lpwstr>
  </property>
</Properties>
</file>