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685" w:rsidRDefault="00226685" w:rsidP="003E12B1">
      <w:pPr>
        <w:pStyle w:val="big-header"/>
        <w:ind w:left="0" w:right="1134"/>
        <w:rPr>
          <w:rStyle w:val="default"/>
          <w:rFonts w:hint="cs"/>
          <w:sz w:val="22"/>
          <w:szCs w:val="22"/>
          <w:rtl/>
        </w:rPr>
      </w:pPr>
      <w:r>
        <w:rPr>
          <w:rFonts w:hint="cs"/>
          <w:rtl/>
        </w:rPr>
        <w:t>תקנות שירות הביטחון הכללי (פרטים אחרים בנוגע לשירות אשר הם חסויים והיתר לפרסום מידע האסור לפרסום), תשס"ד-2004</w:t>
      </w:r>
    </w:p>
    <w:p w:rsidR="00C56240" w:rsidRPr="00C56240" w:rsidRDefault="00C56240" w:rsidP="00C56240">
      <w:pPr>
        <w:spacing w:line="320" w:lineRule="auto"/>
        <w:jc w:val="left"/>
        <w:rPr>
          <w:rStyle w:val="default"/>
          <w:rFonts w:cs="FrankRuehl"/>
          <w:sz w:val="22"/>
          <w:rtl/>
        </w:rPr>
      </w:pPr>
    </w:p>
    <w:p w:rsidR="00C56240" w:rsidRDefault="00C56240" w:rsidP="00C56240">
      <w:pPr>
        <w:spacing w:line="320" w:lineRule="auto"/>
        <w:jc w:val="left"/>
        <w:rPr>
          <w:rStyle w:val="default"/>
          <w:rFonts w:cs="Miriam" w:hint="cs"/>
          <w:sz w:val="22"/>
          <w:szCs w:val="22"/>
          <w:rtl/>
        </w:rPr>
      </w:pPr>
      <w:r w:rsidRPr="00C56240">
        <w:rPr>
          <w:rStyle w:val="default"/>
          <w:rFonts w:cs="Miriam"/>
          <w:sz w:val="22"/>
          <w:szCs w:val="22"/>
          <w:rtl/>
        </w:rPr>
        <w:t>בטחון</w:t>
      </w:r>
      <w:r w:rsidRPr="00C56240">
        <w:rPr>
          <w:rStyle w:val="default"/>
          <w:rFonts w:cs="FrankRuehl"/>
          <w:sz w:val="22"/>
          <w:rtl/>
        </w:rPr>
        <w:t xml:space="preserve"> – שירות הביטחון הכללי</w:t>
      </w:r>
    </w:p>
    <w:p w:rsidR="00C56240" w:rsidRPr="00C56240" w:rsidRDefault="00C56240" w:rsidP="00C56240">
      <w:pPr>
        <w:pStyle w:val="big-header"/>
        <w:ind w:left="0" w:right="1134"/>
        <w:rPr>
          <w:rStyle w:val="default"/>
          <w:rFonts w:hint="cs"/>
          <w:sz w:val="22"/>
          <w:szCs w:val="22"/>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26685">
        <w:tblPrEx>
          <w:tblCellMar>
            <w:top w:w="0" w:type="dxa"/>
            <w:bottom w:w="0" w:type="dxa"/>
          </w:tblCellMar>
        </w:tblPrEx>
        <w:trPr>
          <w:jc w:val="right"/>
        </w:trPr>
        <w:tc>
          <w:tcPr>
            <w:tcW w:w="850" w:type="dxa"/>
          </w:tcPr>
          <w:p w:rsidR="00226685" w:rsidRDefault="00226685">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E12B1">
              <w:rPr>
                <w:noProof/>
                <w:sz w:val="24"/>
                <w:rtl/>
              </w:rPr>
              <w:t>2</w:t>
            </w:r>
            <w:r>
              <w:rPr>
                <w:sz w:val="24"/>
                <w:rtl/>
              </w:rPr>
              <w:fldChar w:fldCharType="end"/>
            </w:r>
          </w:p>
        </w:tc>
        <w:tc>
          <w:tcPr>
            <w:tcW w:w="567" w:type="dxa"/>
          </w:tcPr>
          <w:p w:rsidR="00226685" w:rsidRDefault="00226685">
            <w:pPr>
              <w:spacing w:line="240" w:lineRule="auto"/>
              <w:jc w:val="left"/>
              <w:rPr>
                <w:sz w:val="24"/>
              </w:rPr>
            </w:pPr>
            <w:hyperlink w:anchor="Seif0" w:tooltip="הגדרות" w:history="1">
              <w:r>
                <w:rPr>
                  <w:rStyle w:val="Hyperlink"/>
                </w:rPr>
                <w:t>Go</w:t>
              </w:r>
            </w:hyperlink>
          </w:p>
        </w:tc>
        <w:tc>
          <w:tcPr>
            <w:tcW w:w="5669" w:type="dxa"/>
          </w:tcPr>
          <w:p w:rsidR="00226685" w:rsidRDefault="00226685">
            <w:pPr>
              <w:spacing w:line="240" w:lineRule="auto"/>
              <w:jc w:val="left"/>
              <w:rPr>
                <w:sz w:val="24"/>
                <w:rtl/>
              </w:rPr>
            </w:pPr>
            <w:r>
              <w:rPr>
                <w:sz w:val="24"/>
                <w:rtl/>
              </w:rPr>
              <w:t>הגדרות</w:t>
            </w:r>
          </w:p>
        </w:tc>
        <w:tc>
          <w:tcPr>
            <w:tcW w:w="1247" w:type="dxa"/>
          </w:tcPr>
          <w:p w:rsidR="00226685" w:rsidRDefault="00226685">
            <w:pPr>
              <w:spacing w:line="240" w:lineRule="auto"/>
              <w:jc w:val="left"/>
              <w:rPr>
                <w:sz w:val="24"/>
              </w:rPr>
            </w:pPr>
            <w:r>
              <w:rPr>
                <w:sz w:val="24"/>
                <w:rtl/>
              </w:rPr>
              <w:t xml:space="preserve">סעיף 1 </w:t>
            </w:r>
          </w:p>
        </w:tc>
      </w:tr>
      <w:tr w:rsidR="00226685">
        <w:tblPrEx>
          <w:tblCellMar>
            <w:top w:w="0" w:type="dxa"/>
            <w:bottom w:w="0" w:type="dxa"/>
          </w:tblCellMar>
        </w:tblPrEx>
        <w:trPr>
          <w:jc w:val="right"/>
        </w:trPr>
        <w:tc>
          <w:tcPr>
            <w:tcW w:w="850" w:type="dxa"/>
          </w:tcPr>
          <w:p w:rsidR="00226685" w:rsidRDefault="00226685">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E12B1">
              <w:rPr>
                <w:noProof/>
                <w:sz w:val="24"/>
                <w:rtl/>
              </w:rPr>
              <w:t>2</w:t>
            </w:r>
            <w:r>
              <w:rPr>
                <w:sz w:val="24"/>
                <w:rtl/>
              </w:rPr>
              <w:fldChar w:fldCharType="end"/>
            </w:r>
          </w:p>
        </w:tc>
        <w:tc>
          <w:tcPr>
            <w:tcW w:w="567" w:type="dxa"/>
          </w:tcPr>
          <w:p w:rsidR="00226685" w:rsidRDefault="00226685">
            <w:pPr>
              <w:spacing w:line="240" w:lineRule="auto"/>
              <w:jc w:val="left"/>
              <w:rPr>
                <w:sz w:val="24"/>
              </w:rPr>
            </w:pPr>
            <w:hyperlink w:anchor="Seif1" w:tooltip="פרטים אחרים שפרסומם או גילוים אסור" w:history="1">
              <w:r>
                <w:rPr>
                  <w:rStyle w:val="Hyperlink"/>
                </w:rPr>
                <w:t>Go</w:t>
              </w:r>
            </w:hyperlink>
          </w:p>
        </w:tc>
        <w:tc>
          <w:tcPr>
            <w:tcW w:w="5669" w:type="dxa"/>
          </w:tcPr>
          <w:p w:rsidR="00226685" w:rsidRDefault="00226685">
            <w:pPr>
              <w:spacing w:line="240" w:lineRule="auto"/>
              <w:jc w:val="left"/>
              <w:rPr>
                <w:sz w:val="24"/>
                <w:rtl/>
              </w:rPr>
            </w:pPr>
            <w:r>
              <w:rPr>
                <w:sz w:val="24"/>
                <w:rtl/>
              </w:rPr>
              <w:t>פרטים אחרים שפרסומם או גילוים אסור</w:t>
            </w:r>
          </w:p>
        </w:tc>
        <w:tc>
          <w:tcPr>
            <w:tcW w:w="1247" w:type="dxa"/>
          </w:tcPr>
          <w:p w:rsidR="00226685" w:rsidRDefault="00226685">
            <w:pPr>
              <w:spacing w:line="240" w:lineRule="auto"/>
              <w:jc w:val="left"/>
              <w:rPr>
                <w:sz w:val="24"/>
              </w:rPr>
            </w:pPr>
            <w:r>
              <w:rPr>
                <w:sz w:val="24"/>
                <w:rtl/>
              </w:rPr>
              <w:t xml:space="preserve">סעיף 2 </w:t>
            </w:r>
          </w:p>
        </w:tc>
      </w:tr>
      <w:tr w:rsidR="00226685">
        <w:tblPrEx>
          <w:tblCellMar>
            <w:top w:w="0" w:type="dxa"/>
            <w:bottom w:w="0" w:type="dxa"/>
          </w:tblCellMar>
        </w:tblPrEx>
        <w:trPr>
          <w:jc w:val="right"/>
        </w:trPr>
        <w:tc>
          <w:tcPr>
            <w:tcW w:w="850" w:type="dxa"/>
          </w:tcPr>
          <w:p w:rsidR="00226685" w:rsidRDefault="00226685">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E12B1">
              <w:rPr>
                <w:noProof/>
                <w:sz w:val="24"/>
                <w:rtl/>
              </w:rPr>
              <w:t>2</w:t>
            </w:r>
            <w:r>
              <w:rPr>
                <w:sz w:val="24"/>
                <w:rtl/>
              </w:rPr>
              <w:fldChar w:fldCharType="end"/>
            </w:r>
          </w:p>
        </w:tc>
        <w:tc>
          <w:tcPr>
            <w:tcW w:w="567" w:type="dxa"/>
          </w:tcPr>
          <w:p w:rsidR="00226685" w:rsidRDefault="00226685">
            <w:pPr>
              <w:spacing w:line="240" w:lineRule="auto"/>
              <w:jc w:val="left"/>
              <w:rPr>
                <w:sz w:val="24"/>
              </w:rPr>
            </w:pPr>
            <w:hyperlink w:anchor="Seif2" w:tooltip="היתר לפרסום" w:history="1">
              <w:r>
                <w:rPr>
                  <w:rStyle w:val="Hyperlink"/>
                </w:rPr>
                <w:t>Go</w:t>
              </w:r>
            </w:hyperlink>
          </w:p>
        </w:tc>
        <w:tc>
          <w:tcPr>
            <w:tcW w:w="5669" w:type="dxa"/>
          </w:tcPr>
          <w:p w:rsidR="00226685" w:rsidRDefault="00226685">
            <w:pPr>
              <w:spacing w:line="240" w:lineRule="auto"/>
              <w:jc w:val="left"/>
              <w:rPr>
                <w:sz w:val="24"/>
                <w:rtl/>
              </w:rPr>
            </w:pPr>
            <w:r>
              <w:rPr>
                <w:sz w:val="24"/>
                <w:rtl/>
              </w:rPr>
              <w:t>היתר לפרסום</w:t>
            </w:r>
          </w:p>
        </w:tc>
        <w:tc>
          <w:tcPr>
            <w:tcW w:w="1247" w:type="dxa"/>
          </w:tcPr>
          <w:p w:rsidR="00226685" w:rsidRDefault="00226685">
            <w:pPr>
              <w:spacing w:line="240" w:lineRule="auto"/>
              <w:jc w:val="left"/>
              <w:rPr>
                <w:sz w:val="24"/>
              </w:rPr>
            </w:pPr>
            <w:r>
              <w:rPr>
                <w:sz w:val="24"/>
                <w:rtl/>
              </w:rPr>
              <w:t xml:space="preserve">סעיף 3 </w:t>
            </w:r>
          </w:p>
        </w:tc>
      </w:tr>
    </w:tbl>
    <w:p w:rsidR="003E12B1" w:rsidRDefault="003E12B1" w:rsidP="003E12B1">
      <w:pPr>
        <w:pStyle w:val="big-header"/>
        <w:ind w:left="0" w:right="1134"/>
        <w:rPr>
          <w:rFonts w:hint="cs"/>
          <w:rtl/>
        </w:rPr>
      </w:pPr>
    </w:p>
    <w:p w:rsidR="003E12B1" w:rsidRDefault="003E12B1" w:rsidP="003E12B1">
      <w:pPr>
        <w:pStyle w:val="big-header"/>
        <w:ind w:left="0" w:right="1134"/>
        <w:rPr>
          <w:rStyle w:val="default"/>
          <w:rFonts w:hint="cs"/>
          <w:sz w:val="22"/>
          <w:szCs w:val="22"/>
          <w:rtl/>
        </w:rPr>
      </w:pPr>
      <w:r>
        <w:rPr>
          <w:rtl/>
        </w:rPr>
        <w:br w:type="page"/>
      </w:r>
      <w:r>
        <w:rPr>
          <w:rFonts w:hint="cs"/>
          <w:rtl/>
        </w:rPr>
        <w:lastRenderedPageBreak/>
        <w:t>תקנות שירות הביטחון הכללי (פרטים אחרים בנוגע לשירות אשר הם חסויים והיתר לפרסום מידע האסור לפרסום), תשס"ד-2004</w:t>
      </w:r>
      <w:r>
        <w:rPr>
          <w:rStyle w:val="default"/>
          <w:sz w:val="22"/>
          <w:szCs w:val="22"/>
          <w:rtl/>
        </w:rPr>
        <w:footnoteReference w:customMarkFollows="1" w:id="1"/>
        <w:t>*</w:t>
      </w:r>
    </w:p>
    <w:p w:rsidR="00226685" w:rsidRDefault="00226685">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19(א)(1) ו-(3) ו-21(א) לחוק שירות הביטחון הכללי, התשס"ב-2002 (להלן </w:t>
      </w:r>
      <w:r>
        <w:rPr>
          <w:rStyle w:val="default"/>
          <w:rFonts w:cs="FrankRuehl"/>
          <w:rtl/>
        </w:rPr>
        <w:t>–</w:t>
      </w:r>
      <w:r>
        <w:rPr>
          <w:rStyle w:val="default"/>
          <w:rFonts w:cs="FrankRuehl" w:hint="cs"/>
          <w:rtl/>
        </w:rPr>
        <w:t xml:space="preserve"> החוק), באישור ועדת השרים ובאישור ועדת הכנסת לעניני השירות, אני מתקין תקנות אלה:</w:t>
      </w:r>
    </w:p>
    <w:p w:rsidR="00226685" w:rsidRDefault="0022668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70.25pt;margin-top:8.05pt;width:69.3pt;height:7.3pt;z-index:251656704" o:allowincell="f" filled="f" stroked="f" strokecolor="lime" strokeweight=".25pt">
            <v:textbox style="mso-next-textbox:#_x0000_s1026" inset="0,0,0,0">
              <w:txbxContent>
                <w:p w:rsidR="00226685" w:rsidRDefault="00226685">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226685" w:rsidRDefault="00226685">
      <w:pPr>
        <w:pStyle w:val="P00"/>
        <w:spacing w:before="72"/>
        <w:ind w:left="0" w:right="1134"/>
        <w:rPr>
          <w:rStyle w:val="default"/>
          <w:rFonts w:cs="FrankRuehl" w:hint="cs"/>
          <w:rtl/>
        </w:rPr>
      </w:pPr>
      <w:r>
        <w:rPr>
          <w:rStyle w:val="default"/>
          <w:rFonts w:cs="FrankRuehl" w:hint="cs"/>
          <w:rtl/>
        </w:rPr>
        <w:tab/>
        <w:t xml:space="preserve">"הפועל מטעם השירות" </w:t>
      </w:r>
      <w:r>
        <w:rPr>
          <w:rStyle w:val="default"/>
          <w:rFonts w:cs="FrankRuehl"/>
          <w:rtl/>
        </w:rPr>
        <w:t>–</w:t>
      </w:r>
      <w:r>
        <w:rPr>
          <w:rStyle w:val="default"/>
          <w:rFonts w:cs="FrankRuehl" w:hint="cs"/>
          <w:rtl/>
        </w:rPr>
        <w:t xml:space="preserve"> לרבות חייל המוצב בשירות, משרת בשירות לאומי המוצב בשירות, אדם המסייע לשירות כאמור בסעיף 8(א)(4) לחוק, חניך, יועץ, עובד קבלן וכן כוח אדם עזר, כוח אדם מקצועי וכוח אדם מומחה </w:t>
      </w:r>
      <w:r>
        <w:rPr>
          <w:rStyle w:val="default"/>
          <w:rFonts w:cs="FrankRuehl"/>
          <w:rtl/>
        </w:rPr>
        <w:t>–</w:t>
      </w:r>
      <w:r>
        <w:rPr>
          <w:rStyle w:val="default"/>
          <w:rFonts w:cs="FrankRuehl" w:hint="cs"/>
          <w:rtl/>
        </w:rPr>
        <w:t xml:space="preserve"> כהגדרתם בנוהלי השירות;</w:t>
      </w:r>
    </w:p>
    <w:p w:rsidR="00226685" w:rsidRDefault="00226685">
      <w:pPr>
        <w:pStyle w:val="P00"/>
        <w:spacing w:before="72"/>
        <w:ind w:left="0" w:right="1134"/>
        <w:rPr>
          <w:rStyle w:val="default"/>
          <w:rFonts w:cs="FrankRuehl" w:hint="cs"/>
          <w:rtl/>
        </w:rPr>
      </w:pPr>
      <w:r>
        <w:rPr>
          <w:rStyle w:val="default"/>
          <w:rFonts w:cs="FrankRuehl" w:hint="cs"/>
          <w:rtl/>
        </w:rPr>
        <w:tab/>
        <w:t xml:space="preserve">"פרסום" ו"פרסם" </w:t>
      </w:r>
      <w:r>
        <w:rPr>
          <w:rStyle w:val="default"/>
          <w:rFonts w:cs="FrankRuehl"/>
          <w:rtl/>
        </w:rPr>
        <w:t>–</w:t>
      </w:r>
      <w:r>
        <w:rPr>
          <w:rStyle w:val="default"/>
          <w:rFonts w:cs="FrankRuehl" w:hint="cs"/>
          <w:rtl/>
        </w:rPr>
        <w:t xml:space="preserve"> כהגדרתם בסעיף 34כד לחוק העונשין, התשל"ז-1977;</w:t>
      </w:r>
    </w:p>
    <w:p w:rsidR="00226685" w:rsidRDefault="00226685">
      <w:pPr>
        <w:pStyle w:val="P00"/>
        <w:spacing w:before="72"/>
        <w:ind w:left="0" w:right="1134"/>
        <w:rPr>
          <w:rStyle w:val="default"/>
          <w:rFonts w:cs="FrankRuehl" w:hint="cs"/>
          <w:rtl/>
        </w:rPr>
      </w:pPr>
      <w:r>
        <w:rPr>
          <w:rStyle w:val="default"/>
          <w:rFonts w:cs="FrankRuehl" w:hint="cs"/>
          <w:rtl/>
        </w:rPr>
        <w:tab/>
        <w:t xml:space="preserve">"צנזור" </w:t>
      </w:r>
      <w:r>
        <w:rPr>
          <w:rStyle w:val="default"/>
          <w:rFonts w:cs="FrankRuehl"/>
          <w:rtl/>
        </w:rPr>
        <w:t>–</w:t>
      </w:r>
      <w:r>
        <w:rPr>
          <w:rStyle w:val="default"/>
          <w:rFonts w:cs="FrankRuehl" w:hint="cs"/>
          <w:rtl/>
        </w:rPr>
        <w:t xml:space="preserve"> כהגדרתו בתקנה 86 לתקנות ההגנה (שעת חירום), 1945.</w:t>
      </w:r>
    </w:p>
    <w:p w:rsidR="00226685" w:rsidRDefault="00226685">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8.5pt;width:1in;height:26pt;z-index:251657728" filled="f" stroked="f">
            <v:textbox style="mso-next-textbox:#_x0000_s1036" inset="1mm,0,1mm,0">
              <w:txbxContent>
                <w:p w:rsidR="00226685" w:rsidRDefault="00226685">
                  <w:pPr>
                    <w:pStyle w:val="3"/>
                    <w:rPr>
                      <w:rFonts w:hint="cs"/>
                      <w:rtl/>
                    </w:rPr>
                  </w:pPr>
                  <w:r>
                    <w:rPr>
                      <w:rFonts w:hint="cs"/>
                      <w:rtl/>
                    </w:rPr>
                    <w:t>פרטים אחרים שפרסומם או גילוים אסור</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פרטים בנושאים המפורטים להלן הם חסויים וגילוים או פרסומם אסור, אלא אם כן ניתן היתר לגילוי או לפרסום בהתאם לחוק או לתקנות אלה:</w:t>
      </w:r>
    </w:p>
    <w:p w:rsidR="00226685" w:rsidRDefault="0022668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פרטיו האישיים של עובד השירות, וכן של הפועל מטעם השירות בעבר או בהווה, מקום מגוריו וכל פרט אחר שיש בו כדי לזהותו כעובד השירות או כמי שפעל או שפועל מטעמו;</w:t>
      </w:r>
    </w:p>
    <w:p w:rsidR="00226685" w:rsidRDefault="0022668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זיהוים של מיתקני השירות, לרבות מיקומם, כתובתם ותכניותיהם הפנימיות;</w:t>
      </w:r>
    </w:p>
    <w:p w:rsidR="00226685" w:rsidRDefault="0022668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פרטים שיש בהם כדי לחשוף משימות, יכולות, דרכי פעולה ותכניות פעולה חשאיות, כשירות מבצעית ואמצעים מסווגים של יחידות השירות;</w:t>
      </w:r>
    </w:p>
    <w:p w:rsidR="00226685" w:rsidRDefault="0022668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מקורות מידע של השירות וכל פרט שעלול להביא לזיהוים;</w:t>
      </w:r>
    </w:p>
    <w:p w:rsidR="00226685" w:rsidRDefault="0022668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מידע אחר שמקורו בשירות ואשר נקבע לגביו סיווג ביטחוני.</w:t>
      </w:r>
    </w:p>
    <w:p w:rsidR="00226685" w:rsidRDefault="00226685">
      <w:pPr>
        <w:pStyle w:val="P00"/>
        <w:spacing w:before="72"/>
        <w:ind w:left="0" w:right="1134"/>
        <w:rPr>
          <w:rStyle w:val="default"/>
          <w:rFonts w:cs="FrankRuehl" w:hint="cs"/>
          <w:rtl/>
        </w:rPr>
      </w:pPr>
      <w:bookmarkStart w:id="2" w:name="Seif2"/>
      <w:bookmarkEnd w:id="2"/>
      <w:r>
        <w:rPr>
          <w:rFonts w:cs="Miriam"/>
          <w:szCs w:val="32"/>
          <w:rtl/>
          <w:lang w:val="he-IL"/>
        </w:rPr>
        <w:pict>
          <v:shape id="_x0000_s1203" type="#_x0000_t202" style="position:absolute;left:0;text-align:left;margin-left:470.25pt;margin-top:8.5pt;width:1in;height:11.1pt;z-index:251658752" filled="f" stroked="f">
            <v:textbox style="mso-next-textbox:#_x0000_s1203" inset="1mm,0,1mm,0">
              <w:txbxContent>
                <w:p w:rsidR="00226685" w:rsidRDefault="00226685">
                  <w:pPr>
                    <w:pStyle w:val="3"/>
                    <w:rPr>
                      <w:rFonts w:hint="cs"/>
                      <w:rtl/>
                    </w:rPr>
                  </w:pPr>
                  <w:r>
                    <w:rPr>
                      <w:rFonts w:hint="cs"/>
                      <w:rtl/>
                    </w:rPr>
                    <w:t>היתר לפרסום</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הצנזור רשאי, לפי בקשה כאמור בתקנת משנה (ב), להתיר פרסום מידע האסור בפרסום לפי החוק ותקנות אלה.</w:t>
      </w:r>
    </w:p>
    <w:p w:rsidR="00226685" w:rsidRDefault="002266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לפרסם מידע האסור לפרסום לפי החוק ותקנות אלה, יפנה בבקשה לצנזור אשר יחליט בבקשה לאחר שהתייעץ בענין, במידת הצורך, עם הגורם המופקד על הנושא בשירות, וזאת בהתאם לנוהל עבודה שנקבע לענין זה בין השירות לצנזור באישור ועדת השרים.</w:t>
      </w:r>
    </w:p>
    <w:p w:rsidR="00226685" w:rsidRDefault="00226685">
      <w:pPr>
        <w:pStyle w:val="P00"/>
        <w:spacing w:before="72"/>
        <w:ind w:left="0" w:right="1134"/>
        <w:rPr>
          <w:rStyle w:val="default"/>
          <w:rFonts w:cs="FrankRuehl" w:hint="cs"/>
          <w:rtl/>
        </w:rPr>
      </w:pPr>
    </w:p>
    <w:p w:rsidR="00226685" w:rsidRDefault="00226685">
      <w:pPr>
        <w:pStyle w:val="P00"/>
        <w:spacing w:before="72"/>
        <w:ind w:left="0" w:right="1134"/>
        <w:rPr>
          <w:rStyle w:val="default"/>
          <w:rFonts w:cs="FrankRuehl" w:hint="cs"/>
          <w:rtl/>
        </w:rPr>
      </w:pPr>
    </w:p>
    <w:p w:rsidR="00226685" w:rsidRDefault="0022668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כ"א באייר התשס"ד (12 במאי 2004)</w:t>
      </w:r>
      <w:r>
        <w:rPr>
          <w:rStyle w:val="default"/>
          <w:rFonts w:cs="FrankRuehl" w:hint="cs"/>
          <w:rtl/>
        </w:rPr>
        <w:tab/>
        <w:t>אריאל שרון</w:t>
      </w:r>
    </w:p>
    <w:p w:rsidR="00226685" w:rsidRDefault="00226685" w:rsidP="00C5624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ראש הממשלה</w:t>
      </w:r>
    </w:p>
    <w:p w:rsidR="003E12B1" w:rsidRPr="003E12B1" w:rsidRDefault="003E12B1" w:rsidP="003E12B1">
      <w:pPr>
        <w:pStyle w:val="P00"/>
        <w:spacing w:before="72"/>
        <w:ind w:left="0" w:right="1134"/>
        <w:rPr>
          <w:rStyle w:val="default"/>
          <w:rFonts w:cs="FrankRuehl" w:hint="cs"/>
          <w:rtl/>
        </w:rPr>
      </w:pPr>
    </w:p>
    <w:p w:rsidR="003E12B1" w:rsidRPr="003E12B1" w:rsidRDefault="003E12B1" w:rsidP="003E12B1">
      <w:pPr>
        <w:pStyle w:val="P00"/>
        <w:spacing w:before="72"/>
        <w:ind w:left="0" w:right="1134"/>
        <w:rPr>
          <w:rStyle w:val="default"/>
          <w:rFonts w:cs="FrankRuehl" w:hint="cs"/>
          <w:rtl/>
        </w:rPr>
      </w:pPr>
    </w:p>
    <w:p w:rsidR="003E12B1" w:rsidRPr="003E12B1" w:rsidRDefault="003E12B1" w:rsidP="003E12B1">
      <w:pPr>
        <w:pStyle w:val="P00"/>
        <w:spacing w:before="72"/>
        <w:ind w:left="0" w:right="1134"/>
        <w:rPr>
          <w:rStyle w:val="default"/>
          <w:rFonts w:cs="FrankRuehl" w:hint="cs"/>
          <w:rtl/>
        </w:rPr>
      </w:pPr>
    </w:p>
    <w:sectPr w:rsidR="003E12B1" w:rsidRPr="003E12B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E54" w:rsidRDefault="007B7E54">
      <w:r>
        <w:separator/>
      </w:r>
    </w:p>
  </w:endnote>
  <w:endnote w:type="continuationSeparator" w:id="0">
    <w:p w:rsidR="007B7E54" w:rsidRDefault="007B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685" w:rsidRDefault="002266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26685" w:rsidRDefault="002266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26685" w:rsidRDefault="002266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12B1">
      <w:rPr>
        <w:rFonts w:cs="TopType Jerushalmi"/>
        <w:noProof/>
        <w:color w:val="000000"/>
        <w:sz w:val="14"/>
        <w:szCs w:val="14"/>
      </w:rPr>
      <w:t>D:\Yael\hakika\Revadim</w:t>
    </w:r>
    <w:r w:rsidR="003E12B1">
      <w:rPr>
        <w:rFonts w:cs="TopType Jerushalmi"/>
        <w:noProof/>
        <w:color w:val="000000"/>
        <w:sz w:val="14"/>
        <w:szCs w:val="14"/>
        <w:rtl/>
      </w:rPr>
      <w:t>\קישורים\999_322.</w:t>
    </w:r>
    <w:r w:rsidR="003E12B1">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685" w:rsidRDefault="002266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4436">
      <w:rPr>
        <w:rFonts w:hAnsi="FrankRuehl" w:cs="FrankRuehl"/>
        <w:noProof/>
        <w:sz w:val="24"/>
        <w:szCs w:val="24"/>
        <w:rtl/>
      </w:rPr>
      <w:t>2</w:t>
    </w:r>
    <w:r>
      <w:rPr>
        <w:rFonts w:hAnsi="FrankRuehl" w:cs="FrankRuehl"/>
        <w:sz w:val="24"/>
        <w:szCs w:val="24"/>
        <w:rtl/>
      </w:rPr>
      <w:fldChar w:fldCharType="end"/>
    </w:r>
  </w:p>
  <w:p w:rsidR="00226685" w:rsidRDefault="002266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26685" w:rsidRDefault="002266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12B1">
      <w:rPr>
        <w:rFonts w:cs="TopType Jerushalmi"/>
        <w:noProof/>
        <w:color w:val="000000"/>
        <w:sz w:val="14"/>
        <w:szCs w:val="14"/>
      </w:rPr>
      <w:t>D:\Yael\hakika\Revadim</w:t>
    </w:r>
    <w:r w:rsidR="003E12B1">
      <w:rPr>
        <w:rFonts w:cs="TopType Jerushalmi"/>
        <w:noProof/>
        <w:color w:val="000000"/>
        <w:sz w:val="14"/>
        <w:szCs w:val="14"/>
        <w:rtl/>
      </w:rPr>
      <w:t>\קישורים\999_322.</w:t>
    </w:r>
    <w:r w:rsidR="003E12B1">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E54" w:rsidRDefault="007B7E54" w:rsidP="003E12B1">
      <w:pPr>
        <w:spacing w:before="60" w:line="240" w:lineRule="auto"/>
        <w:ind w:right="1134"/>
      </w:pPr>
      <w:r>
        <w:separator/>
      </w:r>
    </w:p>
  </w:footnote>
  <w:footnote w:type="continuationSeparator" w:id="0">
    <w:p w:rsidR="007B7E54" w:rsidRDefault="007B7E54">
      <w:r>
        <w:continuationSeparator/>
      </w:r>
    </w:p>
  </w:footnote>
  <w:footnote w:id="1">
    <w:p w:rsidR="003E12B1" w:rsidRDefault="003E12B1" w:rsidP="003E12B1">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r>
        <w:rPr>
          <w:sz w:val="20"/>
        </w:rPr>
        <w:t>*</w:t>
      </w:r>
      <w:r>
        <w:rPr>
          <w:rFonts w:hint="cs"/>
          <w:sz w:val="20"/>
          <w:rtl/>
        </w:rPr>
        <w:t xml:space="preserve"> פורסמו </w:t>
      </w:r>
      <w:hyperlink r:id="rId1" w:history="1">
        <w:r w:rsidRPr="00E74B0B">
          <w:rPr>
            <w:rStyle w:val="Hyperlink"/>
            <w:rFonts w:hint="cs"/>
            <w:sz w:val="20"/>
            <w:rtl/>
          </w:rPr>
          <w:t>ק"ת תשס"ד מס' 6331</w:t>
        </w:r>
      </w:hyperlink>
      <w:r w:rsidRPr="00E74B0B">
        <w:rPr>
          <w:rFonts w:hint="cs"/>
          <w:sz w:val="20"/>
          <w:rtl/>
        </w:rPr>
        <w:t xml:space="preserve"> מיום 28.7.2004</w:t>
      </w:r>
      <w:r>
        <w:rPr>
          <w:rFonts w:hint="cs"/>
          <w:sz w:val="20"/>
          <w:rtl/>
        </w:rPr>
        <w:t xml:space="preserve"> עמ' 834.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685" w:rsidRDefault="002266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226685" w:rsidRDefault="002266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26685" w:rsidRDefault="002266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685" w:rsidRDefault="0022668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שירות הביטחון הכללי (פרטים אחרים בנוגע לשירות אשר הם חסויים והיתר לפרסום מידע האסור לפרסום), תשס"ד-2004</w:t>
    </w:r>
  </w:p>
  <w:p w:rsidR="00226685" w:rsidRDefault="002266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26685" w:rsidRDefault="002266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6240"/>
    <w:rsid w:val="00226685"/>
    <w:rsid w:val="00261F36"/>
    <w:rsid w:val="003E12B1"/>
    <w:rsid w:val="00664436"/>
    <w:rsid w:val="006A1B25"/>
    <w:rsid w:val="006C209D"/>
    <w:rsid w:val="007B7E54"/>
    <w:rsid w:val="008D1455"/>
    <w:rsid w:val="00C56240"/>
    <w:rsid w:val="00DB5612"/>
    <w:rsid w:val="00E74B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2F40F32E-0BA9-4F01-A1A5-4AA9C679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2083</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0</vt:i4>
      </vt:variant>
      <vt:variant>
        <vt:i4>0</vt:i4>
      </vt:variant>
      <vt:variant>
        <vt:i4>5</vt:i4>
      </vt:variant>
      <vt:variant>
        <vt:lpwstr>http://www.nevo.co.il/Law_word/law06/TAK-6331.pdf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הביטחון הכללי (פרטים אחרים בנוגע לשירות אשר הם חסויים והיתר לפרסום מידע האסור לפרסום), תשס"ד-2004</vt:lpwstr>
  </property>
  <property fmtid="{D5CDD505-2E9C-101B-9397-08002B2CF9AE}" pid="4" name="LAWNUMBER">
    <vt:lpwstr>0322</vt:lpwstr>
  </property>
  <property fmtid="{D5CDD505-2E9C-101B-9397-08002B2CF9AE}" pid="5" name="TYPE">
    <vt:lpwstr>01</vt:lpwstr>
  </property>
  <property fmtid="{D5CDD505-2E9C-101B-9397-08002B2CF9AE}" pid="6" name="CHNAME">
    <vt:lpwstr>ביטחון</vt:lpwstr>
  </property>
  <property fmtid="{D5CDD505-2E9C-101B-9397-08002B2CF9AE}" pid="7" name="LINKK1">
    <vt:lpwstr>http://www.nevo.co.il/Law_word/law06/tak-6331.pdf;רשומות – תקנות כלליות#פורסמו ק"ת תשס"ד מס' 6331#מיום 28.7.2004#עמ' 834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בטחון</vt:lpwstr>
  </property>
  <property fmtid="{D5CDD505-2E9C-101B-9397-08002B2CF9AE}" pid="18" name="NOSE21">
    <vt:lpwstr>שירות הביטחון הכללי</vt:lpwstr>
  </property>
  <property fmtid="{D5CDD505-2E9C-101B-9397-08002B2CF9AE}" pid="19" name="NOSE31">
    <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שירות הביטחון הכללי</vt:lpwstr>
  </property>
  <property fmtid="{D5CDD505-2E9C-101B-9397-08002B2CF9AE}" pid="58" name="MEKOR_SAIF1">
    <vt:lpwstr>19XאX1X;19XאX3X;21XאX</vt:lpwstr>
  </property>
</Properties>
</file>