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1CD" w:rsidRDefault="00F621CD" w:rsidP="00A342A2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שירות המדינה (משמעת) (ביצוע החלטות שופט בערעור לפי סעיף 43 לחוק), תשכ"ח</w:t>
      </w:r>
      <w:r w:rsidR="00A342A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1968</w:t>
      </w:r>
    </w:p>
    <w:p w:rsidR="00F8591F" w:rsidRPr="00F8591F" w:rsidRDefault="00F8591F" w:rsidP="00F8591F">
      <w:pPr>
        <w:spacing w:line="320" w:lineRule="auto"/>
        <w:jc w:val="left"/>
        <w:rPr>
          <w:rFonts w:cs="FrankRuehl"/>
          <w:szCs w:val="26"/>
          <w:rtl/>
        </w:rPr>
      </w:pPr>
    </w:p>
    <w:p w:rsidR="00F8591F" w:rsidRDefault="00F8591F" w:rsidP="00F8591F">
      <w:pPr>
        <w:spacing w:line="320" w:lineRule="auto"/>
        <w:jc w:val="left"/>
        <w:rPr>
          <w:rtl/>
        </w:rPr>
      </w:pPr>
    </w:p>
    <w:p w:rsidR="00F8591F" w:rsidRDefault="00F8591F" w:rsidP="00F8591F">
      <w:pPr>
        <w:spacing w:line="320" w:lineRule="auto"/>
        <w:jc w:val="left"/>
        <w:rPr>
          <w:rFonts w:cs="FrankRuehl"/>
          <w:szCs w:val="26"/>
          <w:rtl/>
        </w:rPr>
      </w:pPr>
      <w:r w:rsidRPr="00F8591F">
        <w:rPr>
          <w:rFonts w:cs="Miriam"/>
          <w:szCs w:val="22"/>
          <w:rtl/>
        </w:rPr>
        <w:t>רשויות ומשפט מנהלי</w:t>
      </w:r>
      <w:r w:rsidRPr="00F8591F">
        <w:rPr>
          <w:rFonts w:cs="FrankRuehl"/>
          <w:szCs w:val="26"/>
          <w:rtl/>
        </w:rPr>
        <w:t xml:space="preserve"> – שירות המדינה – משמעת – סדרי דין</w:t>
      </w:r>
    </w:p>
    <w:p w:rsidR="00F8591F" w:rsidRDefault="00F8591F" w:rsidP="00F8591F">
      <w:pPr>
        <w:spacing w:line="320" w:lineRule="auto"/>
        <w:jc w:val="left"/>
        <w:rPr>
          <w:rFonts w:cs="FrankRuehl"/>
          <w:szCs w:val="26"/>
          <w:rtl/>
        </w:rPr>
      </w:pPr>
      <w:r w:rsidRPr="00F8591F">
        <w:rPr>
          <w:rFonts w:cs="Miriam"/>
          <w:szCs w:val="22"/>
          <w:rtl/>
        </w:rPr>
        <w:t>בתי משפט וסדרי דין</w:t>
      </w:r>
      <w:r w:rsidRPr="00F8591F">
        <w:rPr>
          <w:rFonts w:cs="FrankRuehl"/>
          <w:szCs w:val="26"/>
          <w:rtl/>
        </w:rPr>
        <w:t xml:space="preserve"> – סדר דין אזרחי</w:t>
      </w:r>
    </w:p>
    <w:p w:rsidR="00F8591F" w:rsidRPr="00F8591F" w:rsidRDefault="00F8591F" w:rsidP="00F8591F">
      <w:pPr>
        <w:spacing w:line="320" w:lineRule="auto"/>
        <w:jc w:val="left"/>
        <w:rPr>
          <w:rFonts w:cs="Miriam"/>
          <w:szCs w:val="22"/>
          <w:rtl/>
        </w:rPr>
      </w:pPr>
      <w:r w:rsidRPr="00F8591F">
        <w:rPr>
          <w:rFonts w:cs="Miriam"/>
          <w:szCs w:val="22"/>
          <w:rtl/>
        </w:rPr>
        <w:t>בתי משפט וסדרי דין</w:t>
      </w:r>
      <w:r w:rsidRPr="00F8591F">
        <w:rPr>
          <w:rFonts w:cs="FrankRuehl"/>
          <w:szCs w:val="26"/>
          <w:rtl/>
        </w:rPr>
        <w:t xml:space="preserve"> – בתי משפט ובתי דין – בג"צ וביהמ"ש העליון</w:t>
      </w:r>
    </w:p>
    <w:p w:rsidR="00F621CD" w:rsidRDefault="00F621C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621C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21CD" w:rsidRDefault="00F621C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D498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21CD" w:rsidRDefault="00F621CD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21CD" w:rsidRDefault="00F621C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F621CD" w:rsidRDefault="00F621C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621C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21CD" w:rsidRDefault="00F621C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D498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21CD" w:rsidRDefault="00F621CD">
            <w:pPr>
              <w:spacing w:line="240" w:lineRule="auto"/>
              <w:rPr>
                <w:sz w:val="24"/>
              </w:rPr>
            </w:pPr>
            <w:hyperlink w:anchor="Seif1" w:tooltip="ביצוע החלטות שופט עליון ב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21CD" w:rsidRDefault="00F621C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החלטות שופט עליון בערעור</w:t>
            </w:r>
          </w:p>
        </w:tc>
        <w:tc>
          <w:tcPr>
            <w:tcW w:w="1247" w:type="dxa"/>
          </w:tcPr>
          <w:p w:rsidR="00F621CD" w:rsidRDefault="00F621C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621C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21CD" w:rsidRDefault="00F621C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D498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21CD" w:rsidRDefault="00F621CD">
            <w:pPr>
              <w:spacing w:line="240" w:lineRule="auto"/>
              <w:rPr>
                <w:sz w:val="24"/>
              </w:rPr>
            </w:pPr>
            <w:hyperlink w:anchor="Seif2" w:tooltip="ביצוע החלטות שופט עליון על ידי נציב הש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21CD" w:rsidRDefault="00F621C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החלטות שופט עליון על ידי נציב השירות</w:t>
            </w:r>
          </w:p>
        </w:tc>
        <w:tc>
          <w:tcPr>
            <w:tcW w:w="1247" w:type="dxa"/>
          </w:tcPr>
          <w:p w:rsidR="00F621CD" w:rsidRDefault="00F621C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621C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21CD" w:rsidRDefault="00F621C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D498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21CD" w:rsidRDefault="00F621CD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21CD" w:rsidRDefault="00F621C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F621CD" w:rsidRDefault="00F621C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F621CD" w:rsidRDefault="00F621CD">
      <w:pPr>
        <w:pStyle w:val="big-header"/>
        <w:ind w:left="0" w:right="1134"/>
        <w:rPr>
          <w:rFonts w:cs="FrankRuehl"/>
          <w:sz w:val="32"/>
          <w:rtl/>
        </w:rPr>
      </w:pPr>
    </w:p>
    <w:p w:rsidR="00F621CD" w:rsidRDefault="00F621CD" w:rsidP="00F8591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 המדינה (משמעת) (ביצוע החלטות שופט בערעור לפי סעיף 43 לחוק), תשכ"ח</w:t>
      </w:r>
      <w:r w:rsidR="00A342A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1968</w:t>
      </w:r>
      <w:r w:rsidR="00A342A2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F621CD" w:rsidRDefault="00F621CD" w:rsidP="008956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78 לחוק שירות המדינה (משמעת), תשכ"ג</w:t>
      </w:r>
      <w:r w:rsidR="0089563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1963, </w:t>
      </w:r>
      <w:r>
        <w:rPr>
          <w:rStyle w:val="default"/>
          <w:rFonts w:cs="FrankRuehl" w:hint="cs"/>
          <w:rtl/>
        </w:rPr>
        <w:t>אני מתקין תקנות אלה:</w:t>
      </w:r>
    </w:p>
    <w:p w:rsidR="00F621CD" w:rsidRDefault="00F621CD" w:rsidP="008956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.8pt;z-index:251656192" o:allowincell="f" filled="f" stroked="f" strokecolor="lime" strokeweight=".25pt">
            <v:textbox inset="0,0,0,0">
              <w:txbxContent>
                <w:p w:rsidR="00F621CD" w:rsidRDefault="00F621C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"נ</w:t>
      </w:r>
      <w:r>
        <w:rPr>
          <w:rStyle w:val="default"/>
          <w:rFonts w:cs="FrankRuehl" w:hint="cs"/>
          <w:rtl/>
        </w:rPr>
        <w:t xml:space="preserve">ציב השירות" ו"המנהל הכללי" </w:t>
      </w:r>
      <w:r w:rsidR="0089563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כמשמעותם בתקנות ש</w:t>
      </w:r>
      <w:r>
        <w:rPr>
          <w:rStyle w:val="default"/>
          <w:rFonts w:cs="FrankRuehl"/>
          <w:rtl/>
        </w:rPr>
        <w:t>יר</w:t>
      </w:r>
      <w:r>
        <w:rPr>
          <w:rStyle w:val="default"/>
          <w:rFonts w:cs="FrankRuehl" w:hint="cs"/>
          <w:rtl/>
        </w:rPr>
        <w:t xml:space="preserve">ות המדינה (משמעת) (ביצוע החלטות ועדת משמעת ובית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דין), תשכ"ד</w:t>
      </w:r>
      <w:r w:rsidR="0089563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1963.</w:t>
      </w:r>
    </w:p>
    <w:p w:rsidR="00F621CD" w:rsidRDefault="00F621CD" w:rsidP="00FE61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4pt;z-index:251657216" o:allowincell="f" filled="f" stroked="f" strokecolor="lime" strokeweight=".25pt">
            <v:textbox inset="0,0,0,0">
              <w:txbxContent>
                <w:p w:rsidR="00F621CD" w:rsidRDefault="00F621CD" w:rsidP="0089563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החלטות</w:t>
                  </w:r>
                  <w:r w:rsidR="0089563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 עליון</w:t>
                  </w:r>
                  <w:r w:rsidR="00895630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FE6165">
        <w:rPr>
          <w:rStyle w:val="default"/>
          <w:rFonts w:cs="FrankRuehl"/>
          <w:rtl/>
        </w:rPr>
        <w:t>.</w:t>
      </w:r>
      <w:r w:rsidRPr="00FE6165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לטות שופט בית המשפט העליון בערעור לפי סעיף 43 לחוק, למעט החלטות לגבי עובד שפר</w:t>
      </w:r>
      <w:r w:rsidR="00895630">
        <w:rPr>
          <w:rStyle w:val="default"/>
          <w:rFonts w:cs="FrankRuehl" w:hint="cs"/>
          <w:rtl/>
        </w:rPr>
        <w:t>ש מן השירות והחלטות לפי סעיף 34</w:t>
      </w:r>
      <w:r>
        <w:rPr>
          <w:rStyle w:val="default"/>
          <w:rFonts w:cs="FrankRuehl" w:hint="cs"/>
          <w:rtl/>
        </w:rPr>
        <w:t>(10) לחוק, יבוצעו על פי הוראות נציב השירות על ידי המנהל הכללי, לגבי עובד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 xml:space="preserve">בתי המשפט, משרר ההוצאה לפועל והנוטריון הציבורי </w:t>
      </w:r>
      <w:r w:rsidR="0089563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על ידי מנהל בתי המשפט שנתמנה על פי סעיף 14 לחוק השופטים, תשי"ג-1953, לרבות מי שהוסמך על ידיו.</w:t>
      </w:r>
    </w:p>
    <w:p w:rsidR="00F621CD" w:rsidRDefault="00F621CD" w:rsidP="00FE61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32pt;z-index:251658240" o:allowincell="f" filled="f" stroked="f" strokecolor="lime" strokeweight=".25pt">
            <v:textbox inset="0,0,0,0">
              <w:txbxContent>
                <w:p w:rsidR="00F621CD" w:rsidRDefault="00F621CD" w:rsidP="0089563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החלטות</w:t>
                  </w:r>
                  <w:r w:rsidR="0089563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 עליון</w:t>
                  </w:r>
                  <w:r w:rsidR="00895630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ידי נציב</w:t>
                  </w:r>
                  <w:r w:rsidR="0089563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 w:rsidRPr="00FE6165">
        <w:rPr>
          <w:rStyle w:val="default"/>
          <w:rFonts w:cs="FrankRuehl"/>
          <w:rtl/>
        </w:rPr>
        <w:t>.</w:t>
      </w:r>
      <w:r w:rsidRPr="00FE6165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לטות שופט בית המשפט העליון בערעור לפי סעיף 43 לחוק לגבי עובד שפרש מן השירות והחלט</w:t>
      </w:r>
      <w:r w:rsidR="00895630">
        <w:rPr>
          <w:rStyle w:val="default"/>
          <w:rFonts w:cs="FrankRuehl" w:hint="cs"/>
          <w:rtl/>
        </w:rPr>
        <w:t>ות לפי סעיף 34</w:t>
      </w:r>
      <w:r>
        <w:rPr>
          <w:rStyle w:val="default"/>
          <w:rFonts w:cs="FrankRuehl" w:hint="cs"/>
          <w:rtl/>
        </w:rPr>
        <w:t>(10) לחוק</w:t>
      </w:r>
      <w:r>
        <w:rPr>
          <w:rStyle w:val="default"/>
          <w:rFonts w:cs="FrankRuehl"/>
          <w:rtl/>
        </w:rPr>
        <w:t xml:space="preserve"> י</w:t>
      </w:r>
      <w:r>
        <w:rPr>
          <w:rStyle w:val="default"/>
          <w:rFonts w:cs="FrankRuehl" w:hint="cs"/>
          <w:rtl/>
        </w:rPr>
        <w:t>בוצעו על ידי נציב השירות</w:t>
      </w:r>
      <w:r w:rsidRPr="00FE6165">
        <w:rPr>
          <w:rStyle w:val="default"/>
          <w:rFonts w:cs="FrankRuehl" w:hint="cs"/>
          <w:rtl/>
        </w:rPr>
        <w:t>.</w:t>
      </w:r>
    </w:p>
    <w:p w:rsidR="00F621CD" w:rsidRDefault="00F621CD" w:rsidP="008956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6.7pt;z-index:251659264" o:allowincell="f" filled="f" stroked="f" strokecolor="lime" strokeweight=".25pt">
            <v:textbox inset="0,0,0,0">
              <w:txbxContent>
                <w:p w:rsidR="00F621CD" w:rsidRDefault="00F621C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שירות המדינה (משמעת) (ביצוע החלטות שופט בערעור לפי סעיף 43 לחוק), תשכ"ח</w:t>
      </w:r>
      <w:r w:rsidR="0089563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1968".</w:t>
      </w:r>
    </w:p>
    <w:p w:rsidR="00F621CD" w:rsidRDefault="00F621C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621CD" w:rsidRDefault="00F621CD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ו באדר תשכ"ח (26 במרס 1968)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ספיר</w:t>
      </w:r>
    </w:p>
    <w:p w:rsidR="00F621CD" w:rsidRDefault="00F621CD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1D4985" w:rsidRPr="00895630" w:rsidRDefault="001D4985" w:rsidP="0089563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D4985" w:rsidRPr="00895630" w:rsidRDefault="001D4985" w:rsidP="0089563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621CD" w:rsidRPr="00895630" w:rsidRDefault="00F621CD" w:rsidP="008956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F621CD" w:rsidRPr="00895630" w:rsidRDefault="00F621CD" w:rsidP="0089563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621CD" w:rsidRPr="0089563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6246" w:rsidRDefault="003E6246">
      <w:pPr>
        <w:spacing w:line="240" w:lineRule="auto"/>
      </w:pPr>
      <w:r>
        <w:separator/>
      </w:r>
    </w:p>
  </w:endnote>
  <w:endnote w:type="continuationSeparator" w:id="0">
    <w:p w:rsidR="003E6246" w:rsidRDefault="003E6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21CD" w:rsidRDefault="00F621C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621CD" w:rsidRDefault="00F621C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621CD" w:rsidRDefault="00F621C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4985">
      <w:rPr>
        <w:rFonts w:cs="TopType Jerushalmi"/>
        <w:noProof/>
        <w:color w:val="000000"/>
        <w:sz w:val="14"/>
        <w:szCs w:val="14"/>
      </w:rPr>
      <w:t>C:\Yael\hakika\Revadim\P221K2_010.doc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21CD" w:rsidRDefault="00F621C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8591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621CD" w:rsidRDefault="00F621C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621CD" w:rsidRDefault="00F621C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4985">
      <w:rPr>
        <w:rFonts w:cs="TopType Jerushalmi"/>
        <w:noProof/>
        <w:color w:val="000000"/>
        <w:sz w:val="14"/>
        <w:szCs w:val="14"/>
      </w:rPr>
      <w:t>C:\Yael\hakika\Revadim\P221K2_010.doc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6246" w:rsidRDefault="003E6246" w:rsidP="001D4985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E6246" w:rsidRDefault="003E6246">
      <w:pPr>
        <w:spacing w:line="240" w:lineRule="auto"/>
      </w:pPr>
      <w:r>
        <w:continuationSeparator/>
      </w:r>
    </w:p>
  </w:footnote>
  <w:footnote w:id="1">
    <w:p w:rsidR="00A342A2" w:rsidRPr="001D4985" w:rsidRDefault="00A342A2" w:rsidP="001D49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1D4985">
        <w:rPr>
          <w:rFonts w:cs="FrankRuehl"/>
          <w:rtl/>
        </w:rPr>
        <w:t xml:space="preserve">* </w:t>
      </w:r>
      <w:r w:rsidR="001D4985">
        <w:rPr>
          <w:rFonts w:cs="FrankRuehl"/>
          <w:rtl/>
        </w:rPr>
        <w:t>פו</w:t>
      </w:r>
      <w:r w:rsidR="001D4985">
        <w:rPr>
          <w:rFonts w:cs="FrankRuehl" w:hint="cs"/>
          <w:rtl/>
        </w:rPr>
        <w:t xml:space="preserve">רסמו </w:t>
      </w:r>
      <w:hyperlink r:id="rId1" w:history="1">
        <w:r w:rsidR="001D4985" w:rsidRPr="00371064">
          <w:rPr>
            <w:rStyle w:val="Hyperlink"/>
            <w:rFonts w:cs="FrankRuehl" w:hint="cs"/>
            <w:rtl/>
          </w:rPr>
          <w:t>ק</w:t>
        </w:r>
        <w:r w:rsidR="001D4985" w:rsidRPr="00371064">
          <w:rPr>
            <w:rStyle w:val="Hyperlink"/>
            <w:rFonts w:cs="FrankRuehl"/>
            <w:rtl/>
          </w:rPr>
          <w:t>"</w:t>
        </w:r>
        <w:r w:rsidR="001D4985" w:rsidRPr="00371064">
          <w:rPr>
            <w:rStyle w:val="Hyperlink"/>
            <w:rFonts w:cs="FrankRuehl" w:hint="cs"/>
            <w:rtl/>
          </w:rPr>
          <w:t>ת תשכ"ח מס' 2211</w:t>
        </w:r>
      </w:hyperlink>
      <w:r w:rsidR="001D4985">
        <w:rPr>
          <w:rFonts w:cs="FrankRuehl" w:hint="cs"/>
          <w:rtl/>
        </w:rPr>
        <w:t xml:space="preserve"> מיום 11.4.1968 עמ' 1274</w:t>
      </w:r>
      <w:r w:rsidR="001D4985">
        <w:rPr>
          <w:rFonts w:cs="FrankRuehl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21CD" w:rsidRDefault="00F621C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(משמעת) (ביצוע החלטות שופט בערעור לפי סעיף 43 לחוק), תשכ"ח–1968</w:t>
    </w:r>
  </w:p>
  <w:p w:rsidR="00F621CD" w:rsidRDefault="00F621C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621CD" w:rsidRDefault="00F621C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21CD" w:rsidRDefault="00F621CD" w:rsidP="00A342A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(משמעת) (ביצוע החלטות שופט בערעור לפי סעיף 43 לחוק), תשכ"ח</w:t>
    </w:r>
    <w:r w:rsidR="00A342A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1968</w:t>
    </w:r>
  </w:p>
  <w:p w:rsidR="00F621CD" w:rsidRDefault="00F621C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621CD" w:rsidRDefault="00F621C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1064"/>
    <w:rsid w:val="000F50CA"/>
    <w:rsid w:val="00154E1C"/>
    <w:rsid w:val="001D4985"/>
    <w:rsid w:val="00371064"/>
    <w:rsid w:val="003E6246"/>
    <w:rsid w:val="005D39A4"/>
    <w:rsid w:val="00624293"/>
    <w:rsid w:val="00895630"/>
    <w:rsid w:val="009B4FA3"/>
    <w:rsid w:val="00A342A2"/>
    <w:rsid w:val="00AF5935"/>
    <w:rsid w:val="00CC76DC"/>
    <w:rsid w:val="00CD7506"/>
    <w:rsid w:val="00D074C7"/>
    <w:rsid w:val="00ED70C5"/>
    <w:rsid w:val="00F621CD"/>
    <w:rsid w:val="00F8591F"/>
    <w:rsid w:val="00FE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3BB93D9-5FE0-4093-9494-DECAB4D7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A342A2"/>
    <w:rPr>
      <w:sz w:val="20"/>
      <w:szCs w:val="20"/>
    </w:rPr>
  </w:style>
  <w:style w:type="character" w:styleId="a6">
    <w:name w:val="footnote reference"/>
    <w:basedOn w:val="a0"/>
    <w:semiHidden/>
    <w:rsid w:val="00A342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21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221ב</vt:lpstr>
    </vt:vector>
  </TitlesOfParts>
  <Company/>
  <LinksUpToDate>false</LinksUpToDate>
  <CharactersWithSpaces>1595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http://www.nevo.co.il/Law_word/law06/TAK-2211.pdf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221ב</dc:title>
  <dc:subject/>
  <dc:creator>Shimon Doodkin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P221K2</vt:lpwstr>
  </property>
  <property fmtid="{D5CDD505-2E9C-101B-9397-08002B2CF9AE}" pid="3" name="CHNAME">
    <vt:lpwstr>שירות המדינה</vt:lpwstr>
  </property>
  <property fmtid="{D5CDD505-2E9C-101B-9397-08002B2CF9AE}" pid="4" name="LAWNAME">
    <vt:lpwstr>תקנות שירות המדינה (משמעת) (ביצוע החלטות שופט בערעור לפי סעיף 43 לחוק), תשכ"ח-1968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המדינה</vt:lpwstr>
  </property>
  <property fmtid="{D5CDD505-2E9C-101B-9397-08002B2CF9AE}" pid="9" name="NOSE31">
    <vt:lpwstr>משמעת</vt:lpwstr>
  </property>
  <property fmtid="{D5CDD505-2E9C-101B-9397-08002B2CF9AE}" pid="10" name="NOSE41">
    <vt:lpwstr>סדרי דין</vt:lpwstr>
  </property>
  <property fmtid="{D5CDD505-2E9C-101B-9397-08002B2CF9AE}" pid="11" name="NOSE12">
    <vt:lpwstr>בתי משפט וסדרי דין</vt:lpwstr>
  </property>
  <property fmtid="{D5CDD505-2E9C-101B-9397-08002B2CF9AE}" pid="12" name="NOSE22">
    <vt:lpwstr>סדר דין אזרחי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>בתי משפט וסדרי דין</vt:lpwstr>
  </property>
  <property fmtid="{D5CDD505-2E9C-101B-9397-08002B2CF9AE}" pid="16" name="NOSE23">
    <vt:lpwstr>בתי משפט ובתי דין</vt:lpwstr>
  </property>
  <property fmtid="{D5CDD505-2E9C-101B-9397-08002B2CF9AE}" pid="17" name="NOSE33">
    <vt:lpwstr>בג"צ וביהמ"ש העליון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