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573" w:rsidRDefault="00001573" w:rsidP="00A141B9">
      <w:pPr>
        <w:pStyle w:val="big-header"/>
        <w:ind w:left="0" w:right="1134"/>
        <w:rPr>
          <w:rFonts w:cs="FrankRuehl" w:hint="cs"/>
          <w:sz w:val="32"/>
          <w:rtl/>
        </w:rPr>
      </w:pPr>
      <w:r>
        <w:rPr>
          <w:rFonts w:cs="FrankRuehl"/>
          <w:sz w:val="32"/>
          <w:rtl/>
        </w:rPr>
        <w:t>תקנות שירות המדינה (משמעת) (סדרי הדין בערעור או בבקשה</w:t>
      </w:r>
      <w:r w:rsidR="00AA50E9">
        <w:rPr>
          <w:rFonts w:cs="FrankRuehl"/>
          <w:sz w:val="32"/>
          <w:rtl/>
        </w:rPr>
        <w:t xml:space="preserve"> לשופט בית המשפט </w:t>
      </w:r>
      <w:r w:rsidR="00A141B9">
        <w:rPr>
          <w:rFonts w:cs="FrankRuehl" w:hint="cs"/>
          <w:sz w:val="32"/>
          <w:rtl/>
        </w:rPr>
        <w:t>המחוזי</w:t>
      </w:r>
      <w:r w:rsidR="00AA50E9">
        <w:rPr>
          <w:rFonts w:cs="FrankRuehl"/>
          <w:sz w:val="32"/>
          <w:rtl/>
        </w:rPr>
        <w:t>), תשכ"ד</w:t>
      </w:r>
      <w:r w:rsidR="00AA50E9">
        <w:rPr>
          <w:rFonts w:cs="FrankRuehl" w:hint="cs"/>
          <w:sz w:val="32"/>
          <w:rtl/>
        </w:rPr>
        <w:t>-</w:t>
      </w:r>
      <w:r>
        <w:rPr>
          <w:rFonts w:cs="FrankRuehl"/>
          <w:sz w:val="32"/>
          <w:rtl/>
        </w:rPr>
        <w:t>1963</w:t>
      </w:r>
    </w:p>
    <w:p w:rsidR="00A845F4" w:rsidRPr="00A845F4" w:rsidRDefault="00A845F4" w:rsidP="00A845F4">
      <w:pPr>
        <w:spacing w:line="320" w:lineRule="auto"/>
        <w:jc w:val="left"/>
        <w:rPr>
          <w:rFonts w:cs="FrankRuehl"/>
          <w:szCs w:val="26"/>
          <w:rtl/>
        </w:rPr>
      </w:pPr>
    </w:p>
    <w:p w:rsidR="00A845F4" w:rsidRDefault="00A845F4" w:rsidP="00A845F4">
      <w:pPr>
        <w:spacing w:line="320" w:lineRule="auto"/>
        <w:jc w:val="left"/>
        <w:rPr>
          <w:rFonts w:cs="Miriam"/>
          <w:szCs w:val="22"/>
          <w:rtl/>
        </w:rPr>
      </w:pPr>
      <w:r w:rsidRPr="00A845F4">
        <w:rPr>
          <w:rFonts w:cs="Miriam"/>
          <w:szCs w:val="22"/>
          <w:rtl/>
        </w:rPr>
        <w:t>רשויות ומשפט מנהלי</w:t>
      </w:r>
      <w:r w:rsidRPr="00A845F4">
        <w:rPr>
          <w:rFonts w:cs="FrankRuehl"/>
          <w:szCs w:val="26"/>
          <w:rtl/>
        </w:rPr>
        <w:t xml:space="preserve"> – שירות המדינה – משמעת – סדרי דין</w:t>
      </w:r>
    </w:p>
    <w:p w:rsidR="00A845F4" w:rsidRDefault="00A845F4" w:rsidP="00A845F4">
      <w:pPr>
        <w:spacing w:line="320" w:lineRule="auto"/>
        <w:jc w:val="left"/>
        <w:rPr>
          <w:rFonts w:cs="Miriam"/>
          <w:szCs w:val="22"/>
          <w:rtl/>
        </w:rPr>
      </w:pPr>
      <w:r w:rsidRPr="00A845F4">
        <w:rPr>
          <w:rFonts w:cs="Miriam"/>
          <w:szCs w:val="22"/>
          <w:rtl/>
        </w:rPr>
        <w:t>בתי משפט וסדרי דין</w:t>
      </w:r>
      <w:r w:rsidRPr="00A845F4">
        <w:rPr>
          <w:rFonts w:cs="FrankRuehl"/>
          <w:szCs w:val="26"/>
          <w:rtl/>
        </w:rPr>
        <w:t xml:space="preserve"> – סדר דין אזרחי – ערעור על החלטות</w:t>
      </w:r>
    </w:p>
    <w:p w:rsidR="00AA332F" w:rsidRPr="00A845F4" w:rsidRDefault="00A845F4" w:rsidP="00A845F4">
      <w:pPr>
        <w:spacing w:line="320" w:lineRule="auto"/>
        <w:jc w:val="left"/>
        <w:rPr>
          <w:rFonts w:cs="Miriam" w:hint="cs"/>
          <w:szCs w:val="22"/>
          <w:rtl/>
        </w:rPr>
      </w:pPr>
      <w:r w:rsidRPr="00A845F4">
        <w:rPr>
          <w:rFonts w:cs="Miriam"/>
          <w:szCs w:val="22"/>
          <w:rtl/>
        </w:rPr>
        <w:t>בתי משפט וסדרי דין</w:t>
      </w:r>
      <w:r w:rsidRPr="00A845F4">
        <w:rPr>
          <w:rFonts w:cs="FrankRuehl"/>
          <w:szCs w:val="26"/>
          <w:rtl/>
        </w:rPr>
        <w:t xml:space="preserve"> – בתי משפט ובתי דין – בג"צ וביהמ"ש העליון</w:t>
      </w:r>
    </w:p>
    <w:p w:rsidR="00001573" w:rsidRDefault="0000157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1 </w:t>
            </w:r>
          </w:p>
        </w:tc>
        <w:tc>
          <w:tcPr>
            <w:tcW w:w="5669" w:type="dxa"/>
          </w:tcPr>
          <w:p w:rsidR="005774B8" w:rsidRPr="005774B8" w:rsidRDefault="005774B8" w:rsidP="005774B8">
            <w:pPr>
              <w:spacing w:line="240" w:lineRule="auto"/>
              <w:jc w:val="left"/>
              <w:rPr>
                <w:rFonts w:cs="Frankruhel"/>
                <w:sz w:val="24"/>
                <w:rtl/>
              </w:rPr>
            </w:pPr>
            <w:r>
              <w:rPr>
                <w:sz w:val="24"/>
                <w:rtl/>
              </w:rPr>
              <w:t>הגדרות</w:t>
            </w:r>
          </w:p>
        </w:tc>
        <w:tc>
          <w:tcPr>
            <w:tcW w:w="567" w:type="dxa"/>
          </w:tcPr>
          <w:p w:rsidR="005774B8" w:rsidRPr="005774B8" w:rsidRDefault="005774B8" w:rsidP="005774B8">
            <w:pPr>
              <w:spacing w:line="240" w:lineRule="auto"/>
              <w:jc w:val="left"/>
              <w:rPr>
                <w:rStyle w:val="Hyperlink"/>
                <w:rtl/>
              </w:rPr>
            </w:pPr>
            <w:hyperlink w:anchor="Seif1" w:tooltip="הגדרות"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2 </w:t>
            </w:r>
          </w:p>
        </w:tc>
        <w:tc>
          <w:tcPr>
            <w:tcW w:w="5669" w:type="dxa"/>
          </w:tcPr>
          <w:p w:rsidR="005774B8" w:rsidRPr="005774B8" w:rsidRDefault="005774B8" w:rsidP="005774B8">
            <w:pPr>
              <w:spacing w:line="240" w:lineRule="auto"/>
              <w:jc w:val="left"/>
              <w:rPr>
                <w:rFonts w:cs="Frankruhel"/>
                <w:sz w:val="24"/>
                <w:rtl/>
              </w:rPr>
            </w:pPr>
            <w:r>
              <w:rPr>
                <w:sz w:val="24"/>
                <w:rtl/>
              </w:rPr>
              <w:t>הודעת ערעור ובקשה</w:t>
            </w:r>
          </w:p>
        </w:tc>
        <w:tc>
          <w:tcPr>
            <w:tcW w:w="567" w:type="dxa"/>
          </w:tcPr>
          <w:p w:rsidR="005774B8" w:rsidRPr="005774B8" w:rsidRDefault="005774B8" w:rsidP="005774B8">
            <w:pPr>
              <w:spacing w:line="240" w:lineRule="auto"/>
              <w:jc w:val="left"/>
              <w:rPr>
                <w:rStyle w:val="Hyperlink"/>
                <w:rtl/>
              </w:rPr>
            </w:pPr>
            <w:hyperlink w:anchor="Seif2" w:tooltip="הודעת ערעור ובקשה"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3 </w:t>
            </w:r>
          </w:p>
        </w:tc>
        <w:tc>
          <w:tcPr>
            <w:tcW w:w="5669" w:type="dxa"/>
          </w:tcPr>
          <w:p w:rsidR="005774B8" w:rsidRPr="005774B8" w:rsidRDefault="005774B8" w:rsidP="005774B8">
            <w:pPr>
              <w:spacing w:line="240" w:lineRule="auto"/>
              <w:jc w:val="left"/>
              <w:rPr>
                <w:rFonts w:cs="Frankruhel"/>
                <w:sz w:val="24"/>
                <w:rtl/>
              </w:rPr>
            </w:pPr>
            <w:r>
              <w:rPr>
                <w:sz w:val="24"/>
                <w:rtl/>
              </w:rPr>
              <w:t>המשיב</w:t>
            </w:r>
          </w:p>
        </w:tc>
        <w:tc>
          <w:tcPr>
            <w:tcW w:w="567" w:type="dxa"/>
          </w:tcPr>
          <w:p w:rsidR="005774B8" w:rsidRPr="005774B8" w:rsidRDefault="005774B8" w:rsidP="005774B8">
            <w:pPr>
              <w:spacing w:line="240" w:lineRule="auto"/>
              <w:jc w:val="left"/>
              <w:rPr>
                <w:rStyle w:val="Hyperlink"/>
                <w:rtl/>
              </w:rPr>
            </w:pPr>
            <w:hyperlink w:anchor="Seif3" w:tooltip="המשיב"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4 </w:t>
            </w:r>
          </w:p>
        </w:tc>
        <w:tc>
          <w:tcPr>
            <w:tcW w:w="5669" w:type="dxa"/>
          </w:tcPr>
          <w:p w:rsidR="005774B8" w:rsidRPr="005774B8" w:rsidRDefault="005774B8" w:rsidP="005774B8">
            <w:pPr>
              <w:spacing w:line="240" w:lineRule="auto"/>
              <w:jc w:val="left"/>
              <w:rPr>
                <w:rFonts w:cs="Frankruhel"/>
                <w:sz w:val="24"/>
                <w:rtl/>
              </w:rPr>
            </w:pPr>
            <w:r>
              <w:rPr>
                <w:sz w:val="24"/>
                <w:rtl/>
              </w:rPr>
              <w:t>טופס ערעור או בקשה</w:t>
            </w:r>
          </w:p>
        </w:tc>
        <w:tc>
          <w:tcPr>
            <w:tcW w:w="567" w:type="dxa"/>
          </w:tcPr>
          <w:p w:rsidR="005774B8" w:rsidRPr="005774B8" w:rsidRDefault="005774B8" w:rsidP="005774B8">
            <w:pPr>
              <w:spacing w:line="240" w:lineRule="auto"/>
              <w:jc w:val="left"/>
              <w:rPr>
                <w:rStyle w:val="Hyperlink"/>
                <w:rtl/>
              </w:rPr>
            </w:pPr>
            <w:hyperlink w:anchor="Seif4" w:tooltip="טופס ערעור או בקשה"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5 </w:t>
            </w:r>
          </w:p>
        </w:tc>
        <w:tc>
          <w:tcPr>
            <w:tcW w:w="5669" w:type="dxa"/>
          </w:tcPr>
          <w:p w:rsidR="005774B8" w:rsidRPr="005774B8" w:rsidRDefault="005774B8" w:rsidP="005774B8">
            <w:pPr>
              <w:spacing w:line="240" w:lineRule="auto"/>
              <w:jc w:val="left"/>
              <w:rPr>
                <w:rFonts w:cs="Frankruhel"/>
                <w:sz w:val="24"/>
                <w:rtl/>
              </w:rPr>
            </w:pPr>
            <w:r>
              <w:rPr>
                <w:sz w:val="24"/>
                <w:rtl/>
              </w:rPr>
              <w:t>צירוף העתק ה</w:t>
            </w:r>
          </w:p>
        </w:tc>
        <w:tc>
          <w:tcPr>
            <w:tcW w:w="567" w:type="dxa"/>
          </w:tcPr>
          <w:p w:rsidR="005774B8" w:rsidRPr="005774B8" w:rsidRDefault="005774B8" w:rsidP="005774B8">
            <w:pPr>
              <w:spacing w:line="240" w:lineRule="auto"/>
              <w:jc w:val="left"/>
              <w:rPr>
                <w:rStyle w:val="Hyperlink"/>
                <w:rtl/>
              </w:rPr>
            </w:pPr>
            <w:hyperlink w:anchor="Seif5" w:tooltip="צירוף העתק ה"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6 </w:t>
            </w:r>
          </w:p>
        </w:tc>
        <w:tc>
          <w:tcPr>
            <w:tcW w:w="5669" w:type="dxa"/>
          </w:tcPr>
          <w:p w:rsidR="005774B8" w:rsidRPr="005774B8" w:rsidRDefault="005774B8" w:rsidP="005774B8">
            <w:pPr>
              <w:spacing w:line="240" w:lineRule="auto"/>
              <w:jc w:val="left"/>
              <w:rPr>
                <w:rFonts w:cs="Frankruhel"/>
                <w:sz w:val="24"/>
                <w:rtl/>
              </w:rPr>
            </w:pPr>
            <w:r>
              <w:rPr>
                <w:sz w:val="24"/>
                <w:rtl/>
              </w:rPr>
              <w:t>מסירה לפרקליט המדינה ולנציב השירות</w:t>
            </w:r>
          </w:p>
        </w:tc>
        <w:tc>
          <w:tcPr>
            <w:tcW w:w="567" w:type="dxa"/>
          </w:tcPr>
          <w:p w:rsidR="005774B8" w:rsidRPr="005774B8" w:rsidRDefault="005774B8" w:rsidP="005774B8">
            <w:pPr>
              <w:spacing w:line="240" w:lineRule="auto"/>
              <w:jc w:val="left"/>
              <w:rPr>
                <w:rStyle w:val="Hyperlink"/>
                <w:rtl/>
              </w:rPr>
            </w:pPr>
            <w:hyperlink w:anchor="Seif6" w:tooltip="מסירה לפרקליט המדינה ולנציב השירות"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7 </w:t>
            </w:r>
          </w:p>
        </w:tc>
        <w:tc>
          <w:tcPr>
            <w:tcW w:w="5669" w:type="dxa"/>
          </w:tcPr>
          <w:p w:rsidR="005774B8" w:rsidRPr="005774B8" w:rsidRDefault="005774B8" w:rsidP="005774B8">
            <w:pPr>
              <w:spacing w:line="240" w:lineRule="auto"/>
              <w:jc w:val="left"/>
              <w:rPr>
                <w:rFonts w:cs="Frankruhel"/>
                <w:sz w:val="24"/>
                <w:rtl/>
              </w:rPr>
            </w:pPr>
            <w:r>
              <w:rPr>
                <w:sz w:val="24"/>
                <w:rtl/>
              </w:rPr>
              <w:t>חזרה</w:t>
            </w:r>
          </w:p>
        </w:tc>
        <w:tc>
          <w:tcPr>
            <w:tcW w:w="567" w:type="dxa"/>
          </w:tcPr>
          <w:p w:rsidR="005774B8" w:rsidRPr="005774B8" w:rsidRDefault="005774B8" w:rsidP="005774B8">
            <w:pPr>
              <w:spacing w:line="240" w:lineRule="auto"/>
              <w:jc w:val="left"/>
              <w:rPr>
                <w:rStyle w:val="Hyperlink"/>
                <w:rtl/>
              </w:rPr>
            </w:pPr>
            <w:hyperlink w:anchor="Seif7" w:tooltip="חזרה"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8 </w:t>
            </w:r>
          </w:p>
        </w:tc>
        <w:tc>
          <w:tcPr>
            <w:tcW w:w="5669" w:type="dxa"/>
          </w:tcPr>
          <w:p w:rsidR="005774B8" w:rsidRPr="005774B8" w:rsidRDefault="005774B8" w:rsidP="005774B8">
            <w:pPr>
              <w:spacing w:line="240" w:lineRule="auto"/>
              <w:jc w:val="left"/>
              <w:rPr>
                <w:rFonts w:cs="Frankruhel"/>
                <w:sz w:val="24"/>
                <w:rtl/>
              </w:rPr>
            </w:pPr>
            <w:r>
              <w:rPr>
                <w:sz w:val="24"/>
                <w:rtl/>
              </w:rPr>
              <w:t>איחוד ערעורים</w:t>
            </w:r>
          </w:p>
        </w:tc>
        <w:tc>
          <w:tcPr>
            <w:tcW w:w="567" w:type="dxa"/>
          </w:tcPr>
          <w:p w:rsidR="005774B8" w:rsidRPr="005774B8" w:rsidRDefault="005774B8" w:rsidP="005774B8">
            <w:pPr>
              <w:spacing w:line="240" w:lineRule="auto"/>
              <w:jc w:val="left"/>
              <w:rPr>
                <w:rStyle w:val="Hyperlink"/>
                <w:rtl/>
              </w:rPr>
            </w:pPr>
            <w:hyperlink w:anchor="Seif8" w:tooltip="איחוד ערעורים"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9 </w:t>
            </w:r>
          </w:p>
        </w:tc>
        <w:tc>
          <w:tcPr>
            <w:tcW w:w="5669" w:type="dxa"/>
          </w:tcPr>
          <w:p w:rsidR="005774B8" w:rsidRPr="005774B8" w:rsidRDefault="005774B8" w:rsidP="005774B8">
            <w:pPr>
              <w:spacing w:line="240" w:lineRule="auto"/>
              <w:jc w:val="left"/>
              <w:rPr>
                <w:rFonts w:cs="Frankruhel"/>
                <w:sz w:val="24"/>
                <w:rtl/>
              </w:rPr>
            </w:pPr>
            <w:r>
              <w:rPr>
                <w:sz w:val="24"/>
                <w:rtl/>
              </w:rPr>
              <w:t>נוכחות בעלי הדין</w:t>
            </w:r>
          </w:p>
        </w:tc>
        <w:tc>
          <w:tcPr>
            <w:tcW w:w="567" w:type="dxa"/>
          </w:tcPr>
          <w:p w:rsidR="005774B8" w:rsidRPr="005774B8" w:rsidRDefault="005774B8" w:rsidP="005774B8">
            <w:pPr>
              <w:spacing w:line="240" w:lineRule="auto"/>
              <w:jc w:val="left"/>
              <w:rPr>
                <w:rStyle w:val="Hyperlink"/>
                <w:rtl/>
              </w:rPr>
            </w:pPr>
            <w:hyperlink w:anchor="Seif9" w:tooltip="נוכחות בעלי הדין"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10 </w:t>
            </w:r>
          </w:p>
        </w:tc>
        <w:tc>
          <w:tcPr>
            <w:tcW w:w="5669" w:type="dxa"/>
          </w:tcPr>
          <w:p w:rsidR="005774B8" w:rsidRPr="005774B8" w:rsidRDefault="005774B8" w:rsidP="005774B8">
            <w:pPr>
              <w:spacing w:line="240" w:lineRule="auto"/>
              <w:jc w:val="left"/>
              <w:rPr>
                <w:rFonts w:cs="Frankruhel"/>
                <w:sz w:val="24"/>
                <w:rtl/>
              </w:rPr>
            </w:pPr>
            <w:r>
              <w:rPr>
                <w:sz w:val="24"/>
                <w:rtl/>
              </w:rPr>
              <w:t>סדר הטיעון</w:t>
            </w:r>
          </w:p>
        </w:tc>
        <w:tc>
          <w:tcPr>
            <w:tcW w:w="567" w:type="dxa"/>
          </w:tcPr>
          <w:p w:rsidR="005774B8" w:rsidRPr="005774B8" w:rsidRDefault="005774B8" w:rsidP="005774B8">
            <w:pPr>
              <w:spacing w:line="240" w:lineRule="auto"/>
              <w:jc w:val="left"/>
              <w:rPr>
                <w:rStyle w:val="Hyperlink"/>
                <w:rtl/>
              </w:rPr>
            </w:pPr>
            <w:hyperlink w:anchor="Seif10" w:tooltip="סדר הטיעון"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11 </w:t>
            </w:r>
          </w:p>
        </w:tc>
        <w:tc>
          <w:tcPr>
            <w:tcW w:w="5669" w:type="dxa"/>
          </w:tcPr>
          <w:p w:rsidR="005774B8" w:rsidRPr="005774B8" w:rsidRDefault="005774B8" w:rsidP="005774B8">
            <w:pPr>
              <w:spacing w:line="240" w:lineRule="auto"/>
              <w:jc w:val="left"/>
              <w:rPr>
                <w:rFonts w:cs="Frankruhel"/>
                <w:sz w:val="24"/>
                <w:rtl/>
              </w:rPr>
            </w:pPr>
            <w:r>
              <w:rPr>
                <w:sz w:val="24"/>
                <w:rtl/>
              </w:rPr>
              <w:t>ראיות נוספות</w:t>
            </w:r>
          </w:p>
        </w:tc>
        <w:tc>
          <w:tcPr>
            <w:tcW w:w="567" w:type="dxa"/>
          </w:tcPr>
          <w:p w:rsidR="005774B8" w:rsidRPr="005774B8" w:rsidRDefault="005774B8" w:rsidP="005774B8">
            <w:pPr>
              <w:spacing w:line="240" w:lineRule="auto"/>
              <w:jc w:val="left"/>
              <w:rPr>
                <w:rStyle w:val="Hyperlink"/>
                <w:rtl/>
              </w:rPr>
            </w:pPr>
            <w:hyperlink w:anchor="Seif11" w:tooltip="ראיות נוספות"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12 </w:t>
            </w:r>
          </w:p>
        </w:tc>
        <w:tc>
          <w:tcPr>
            <w:tcW w:w="5669" w:type="dxa"/>
          </w:tcPr>
          <w:p w:rsidR="005774B8" w:rsidRPr="005774B8" w:rsidRDefault="005774B8" w:rsidP="005774B8">
            <w:pPr>
              <w:spacing w:line="240" w:lineRule="auto"/>
              <w:jc w:val="left"/>
              <w:rPr>
                <w:rFonts w:cs="Frankruhel"/>
                <w:sz w:val="24"/>
                <w:rtl/>
              </w:rPr>
            </w:pPr>
            <w:r>
              <w:rPr>
                <w:sz w:val="24"/>
                <w:rtl/>
              </w:rPr>
              <w:t>כיצד גובים עדות נוספת</w:t>
            </w:r>
          </w:p>
        </w:tc>
        <w:tc>
          <w:tcPr>
            <w:tcW w:w="567" w:type="dxa"/>
          </w:tcPr>
          <w:p w:rsidR="005774B8" w:rsidRPr="005774B8" w:rsidRDefault="005774B8" w:rsidP="005774B8">
            <w:pPr>
              <w:spacing w:line="240" w:lineRule="auto"/>
              <w:jc w:val="left"/>
              <w:rPr>
                <w:rStyle w:val="Hyperlink"/>
                <w:rtl/>
              </w:rPr>
            </w:pPr>
            <w:hyperlink w:anchor="Seif12" w:tooltip="כיצד גובים עדות נוספת"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13 </w:t>
            </w:r>
          </w:p>
        </w:tc>
        <w:tc>
          <w:tcPr>
            <w:tcW w:w="5669" w:type="dxa"/>
          </w:tcPr>
          <w:p w:rsidR="005774B8" w:rsidRPr="005774B8" w:rsidRDefault="005774B8" w:rsidP="005774B8">
            <w:pPr>
              <w:spacing w:line="240" w:lineRule="auto"/>
              <w:jc w:val="left"/>
              <w:rPr>
                <w:rFonts w:cs="Frankruhel"/>
                <w:sz w:val="24"/>
                <w:rtl/>
              </w:rPr>
            </w:pPr>
            <w:r>
              <w:rPr>
                <w:sz w:val="24"/>
                <w:rtl/>
              </w:rPr>
              <w:t>צמצום הראיות הנוספות</w:t>
            </w:r>
          </w:p>
        </w:tc>
        <w:tc>
          <w:tcPr>
            <w:tcW w:w="567" w:type="dxa"/>
          </w:tcPr>
          <w:p w:rsidR="005774B8" w:rsidRPr="005774B8" w:rsidRDefault="005774B8" w:rsidP="005774B8">
            <w:pPr>
              <w:spacing w:line="240" w:lineRule="auto"/>
              <w:jc w:val="left"/>
              <w:rPr>
                <w:rStyle w:val="Hyperlink"/>
                <w:rtl/>
              </w:rPr>
            </w:pPr>
            <w:hyperlink w:anchor="Seif13" w:tooltip="צמצום הראיות הנוספות"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r>
              <w:rPr>
                <w:sz w:val="24"/>
                <w:rtl/>
              </w:rPr>
              <w:t xml:space="preserve">סעיף 16 </w:t>
            </w:r>
          </w:p>
        </w:tc>
        <w:tc>
          <w:tcPr>
            <w:tcW w:w="5669" w:type="dxa"/>
          </w:tcPr>
          <w:p w:rsidR="005774B8" w:rsidRPr="005774B8" w:rsidRDefault="005774B8" w:rsidP="005774B8">
            <w:pPr>
              <w:spacing w:line="240" w:lineRule="auto"/>
              <w:jc w:val="left"/>
              <w:rPr>
                <w:rFonts w:cs="Frankruhel"/>
                <w:sz w:val="24"/>
                <w:rtl/>
              </w:rPr>
            </w:pPr>
            <w:r>
              <w:rPr>
                <w:sz w:val="24"/>
                <w:rtl/>
              </w:rPr>
              <w:t>העברת חומר הדיון</w:t>
            </w:r>
          </w:p>
        </w:tc>
        <w:tc>
          <w:tcPr>
            <w:tcW w:w="567" w:type="dxa"/>
          </w:tcPr>
          <w:p w:rsidR="005774B8" w:rsidRPr="005774B8" w:rsidRDefault="005774B8" w:rsidP="005774B8">
            <w:pPr>
              <w:spacing w:line="240" w:lineRule="auto"/>
              <w:jc w:val="left"/>
              <w:rPr>
                <w:rStyle w:val="Hyperlink"/>
                <w:rtl/>
              </w:rPr>
            </w:pPr>
            <w:hyperlink w:anchor="Seif14" w:tooltip="העברת חומר הדיון"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4B8" w:rsidRPr="005774B8">
        <w:tblPrEx>
          <w:tblCellMar>
            <w:top w:w="0" w:type="dxa"/>
            <w:bottom w:w="0" w:type="dxa"/>
          </w:tblCellMar>
        </w:tblPrEx>
        <w:tc>
          <w:tcPr>
            <w:tcW w:w="1247" w:type="dxa"/>
          </w:tcPr>
          <w:p w:rsidR="005774B8" w:rsidRPr="005774B8" w:rsidRDefault="005774B8" w:rsidP="005774B8">
            <w:pPr>
              <w:spacing w:line="240" w:lineRule="auto"/>
              <w:jc w:val="left"/>
              <w:rPr>
                <w:rFonts w:cs="Frankruhel"/>
                <w:sz w:val="24"/>
                <w:rtl/>
              </w:rPr>
            </w:pPr>
          </w:p>
        </w:tc>
        <w:tc>
          <w:tcPr>
            <w:tcW w:w="5669" w:type="dxa"/>
          </w:tcPr>
          <w:p w:rsidR="005774B8" w:rsidRPr="005774B8" w:rsidRDefault="005774B8" w:rsidP="005774B8">
            <w:pPr>
              <w:spacing w:line="240" w:lineRule="auto"/>
              <w:jc w:val="left"/>
              <w:rPr>
                <w:rFonts w:cs="Frankruhel"/>
                <w:sz w:val="24"/>
                <w:rtl/>
              </w:rPr>
            </w:pPr>
            <w:r>
              <w:rPr>
                <w:sz w:val="24"/>
                <w:rtl/>
              </w:rPr>
              <w:t>תוספת</w:t>
            </w:r>
          </w:p>
        </w:tc>
        <w:tc>
          <w:tcPr>
            <w:tcW w:w="567" w:type="dxa"/>
          </w:tcPr>
          <w:p w:rsidR="005774B8" w:rsidRPr="005774B8" w:rsidRDefault="005774B8" w:rsidP="005774B8">
            <w:pPr>
              <w:spacing w:line="240" w:lineRule="auto"/>
              <w:jc w:val="left"/>
              <w:rPr>
                <w:rStyle w:val="Hyperlink"/>
                <w:rtl/>
              </w:rPr>
            </w:pPr>
            <w:hyperlink w:anchor="med0" w:tooltip="תוספת" w:history="1">
              <w:r w:rsidRPr="005774B8">
                <w:rPr>
                  <w:rStyle w:val="Hyperlink"/>
                </w:rPr>
                <w:t>Go</w:t>
              </w:r>
            </w:hyperlink>
          </w:p>
        </w:tc>
        <w:tc>
          <w:tcPr>
            <w:tcW w:w="850" w:type="dxa"/>
          </w:tcPr>
          <w:p w:rsidR="005774B8" w:rsidRPr="005774B8" w:rsidRDefault="005774B8" w:rsidP="005774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001573" w:rsidRDefault="00001573">
      <w:pPr>
        <w:pStyle w:val="big-header"/>
        <w:ind w:left="0" w:right="1134"/>
        <w:rPr>
          <w:rFonts w:cs="FrankRuehl"/>
          <w:sz w:val="32"/>
          <w:rtl/>
        </w:rPr>
      </w:pPr>
    </w:p>
    <w:p w:rsidR="00001573" w:rsidRPr="00A845F4" w:rsidRDefault="00001573" w:rsidP="009D126E">
      <w:pPr>
        <w:pStyle w:val="big-header"/>
        <w:ind w:left="0" w:right="1134"/>
        <w:rPr>
          <w:rStyle w:val="default"/>
          <w:rFonts w:hint="cs"/>
          <w:sz w:val="20"/>
          <w:szCs w:val="32"/>
          <w:rtl/>
        </w:rPr>
      </w:pPr>
      <w:r>
        <w:rPr>
          <w:rFonts w:cs="FrankRuehl"/>
          <w:sz w:val="32"/>
          <w:rtl/>
        </w:rPr>
        <w:br w:type="page"/>
      </w:r>
      <w:r w:rsidR="00A141B9">
        <w:rPr>
          <w:rFonts w:cs="FrankRuehl"/>
          <w:sz w:val="32"/>
          <w:rtl/>
          <w:lang w:eastAsia="en-US"/>
        </w:rPr>
        <w:lastRenderedPageBreak/>
        <w:pict>
          <v:shapetype id="_x0000_t202" coordsize="21600,21600" o:spt="202" path="m,l,21600r21600,l21600,xe">
            <v:stroke joinstyle="miter"/>
            <v:path gradientshapeok="t" o:connecttype="rect"/>
          </v:shapetype>
          <v:shape id="_x0000_s1045" type="#_x0000_t202" style="position:absolute;left:0;text-align:left;margin-left:470.25pt;margin-top:25.5pt;width:1in;height:11.35pt;z-index:251666432" filled="f" stroked="f">
            <v:textbox inset="1mm,0,1mm,0">
              <w:txbxContent>
                <w:p w:rsidR="00A141B9" w:rsidRDefault="00A141B9" w:rsidP="00A141B9">
                  <w:pPr>
                    <w:spacing w:line="160" w:lineRule="exact"/>
                    <w:jc w:val="left"/>
                    <w:rPr>
                      <w:rFonts w:cs="Miriam" w:hint="cs"/>
                      <w:noProof/>
                      <w:sz w:val="18"/>
                      <w:szCs w:val="18"/>
                      <w:rtl/>
                    </w:rPr>
                  </w:pPr>
                  <w:r>
                    <w:rPr>
                      <w:rFonts w:cs="Miriam" w:hint="cs"/>
                      <w:sz w:val="18"/>
                      <w:szCs w:val="18"/>
                      <w:rtl/>
                    </w:rPr>
                    <w:t>תק' תשע"ד-2013</w:t>
                  </w:r>
                </w:p>
              </w:txbxContent>
            </v:textbox>
          </v:shape>
        </w:pict>
      </w:r>
      <w:r>
        <w:rPr>
          <w:rFonts w:cs="FrankRuehl"/>
          <w:sz w:val="32"/>
          <w:rtl/>
        </w:rPr>
        <w:t>תק</w:t>
      </w:r>
      <w:r>
        <w:rPr>
          <w:rFonts w:cs="FrankRuehl" w:hint="cs"/>
          <w:sz w:val="32"/>
          <w:rtl/>
        </w:rPr>
        <w:t xml:space="preserve">נות שירות המדינה (משמעת) (סדרי הדין בערעור או בבקשה לשופט בית המשפט </w:t>
      </w:r>
      <w:r w:rsidR="009D126E">
        <w:rPr>
          <w:rFonts w:cs="FrankRuehl" w:hint="cs"/>
          <w:sz w:val="32"/>
          <w:rtl/>
        </w:rPr>
        <w:t>המחוזי</w:t>
      </w:r>
      <w:r>
        <w:rPr>
          <w:rFonts w:cs="FrankRuehl" w:hint="cs"/>
          <w:sz w:val="32"/>
          <w:rtl/>
        </w:rPr>
        <w:t>), תשכ"ד</w:t>
      </w:r>
      <w:r w:rsidR="00AA50E9">
        <w:rPr>
          <w:rFonts w:cs="FrankRuehl" w:hint="cs"/>
          <w:sz w:val="32"/>
          <w:rtl/>
        </w:rPr>
        <w:t>-</w:t>
      </w:r>
      <w:r>
        <w:rPr>
          <w:rFonts w:cs="FrankRuehl"/>
          <w:sz w:val="32"/>
          <w:rtl/>
        </w:rPr>
        <w:t>1963</w:t>
      </w:r>
      <w:r w:rsidR="00AA50E9">
        <w:rPr>
          <w:rStyle w:val="a6"/>
          <w:rFonts w:cs="FrankRuehl"/>
          <w:sz w:val="32"/>
          <w:rtl/>
        </w:rPr>
        <w:footnoteReference w:customMarkFollows="1" w:id="1"/>
        <w:t>*</w:t>
      </w:r>
    </w:p>
    <w:p w:rsidR="00A141B9" w:rsidRPr="00D557CF" w:rsidRDefault="00A141B9" w:rsidP="00A141B9">
      <w:pPr>
        <w:pStyle w:val="P00"/>
        <w:spacing w:before="0"/>
        <w:ind w:left="0" w:right="1134"/>
        <w:rPr>
          <w:rFonts w:cs="FrankRuehl" w:hint="cs"/>
          <w:vanish/>
          <w:color w:val="FF0000"/>
          <w:szCs w:val="20"/>
          <w:shd w:val="clear" w:color="auto" w:fill="FFFF99"/>
          <w:rtl/>
        </w:rPr>
      </w:pPr>
      <w:bookmarkStart w:id="0" w:name="Rov20"/>
      <w:r w:rsidRPr="00D557CF">
        <w:rPr>
          <w:rFonts w:cs="FrankRuehl" w:hint="cs"/>
          <w:vanish/>
          <w:color w:val="FF0000"/>
          <w:szCs w:val="20"/>
          <w:shd w:val="clear" w:color="auto" w:fill="FFFF99"/>
          <w:rtl/>
        </w:rPr>
        <w:t>מיום 1.10.2013</w:t>
      </w:r>
    </w:p>
    <w:p w:rsidR="00A141B9" w:rsidRPr="00D557CF" w:rsidRDefault="00A141B9" w:rsidP="00A141B9">
      <w:pPr>
        <w:pStyle w:val="P00"/>
        <w:spacing w:before="0"/>
        <w:ind w:left="0" w:right="1134"/>
        <w:rPr>
          <w:rFonts w:cs="FrankRuehl" w:hint="cs"/>
          <w:b/>
          <w:bCs/>
          <w:vanish/>
          <w:szCs w:val="20"/>
          <w:shd w:val="clear" w:color="auto" w:fill="FFFF99"/>
          <w:rtl/>
        </w:rPr>
      </w:pPr>
      <w:r w:rsidRPr="00D557CF">
        <w:rPr>
          <w:rFonts w:cs="FrankRuehl" w:hint="cs"/>
          <w:b/>
          <w:bCs/>
          <w:vanish/>
          <w:szCs w:val="20"/>
          <w:shd w:val="clear" w:color="auto" w:fill="FFFF99"/>
          <w:rtl/>
        </w:rPr>
        <w:t>תק' תשע"ד-2013</w:t>
      </w:r>
    </w:p>
    <w:p w:rsidR="00A141B9" w:rsidRPr="00D557CF" w:rsidRDefault="00A141B9" w:rsidP="00A141B9">
      <w:pPr>
        <w:pStyle w:val="P00"/>
        <w:spacing w:before="0"/>
        <w:ind w:left="0" w:right="1134"/>
        <w:rPr>
          <w:rFonts w:cs="FrankRuehl" w:hint="cs"/>
          <w:vanish/>
          <w:szCs w:val="20"/>
          <w:shd w:val="clear" w:color="auto" w:fill="FFFF99"/>
          <w:rtl/>
        </w:rPr>
      </w:pPr>
      <w:hyperlink r:id="rId6" w:history="1">
        <w:r w:rsidRPr="00D557CF">
          <w:rPr>
            <w:rStyle w:val="Hyperlink"/>
            <w:rFonts w:cs="FrankRuehl" w:hint="cs"/>
            <w:vanish/>
            <w:szCs w:val="20"/>
            <w:shd w:val="clear" w:color="auto" w:fill="FFFF99"/>
            <w:rtl/>
          </w:rPr>
          <w:t>ק"ת תשע"ד מס' 7291</w:t>
        </w:r>
      </w:hyperlink>
      <w:r w:rsidRPr="00D557CF">
        <w:rPr>
          <w:rFonts w:cs="FrankRuehl" w:hint="cs"/>
          <w:vanish/>
          <w:szCs w:val="20"/>
          <w:shd w:val="clear" w:color="auto" w:fill="FFFF99"/>
          <w:rtl/>
        </w:rPr>
        <w:t xml:space="preserve"> מיום 17.9.2013 עמ' 34</w:t>
      </w:r>
    </w:p>
    <w:p w:rsidR="00A141B9" w:rsidRPr="00A141B9" w:rsidRDefault="00A141B9" w:rsidP="00A141B9">
      <w:pPr>
        <w:pStyle w:val="P00"/>
        <w:ind w:left="0" w:right="1134"/>
        <w:rPr>
          <w:rFonts w:cs="FrankRuehl" w:hint="cs"/>
          <w:sz w:val="2"/>
          <w:szCs w:val="2"/>
          <w:rtl/>
        </w:rPr>
      </w:pPr>
      <w:r w:rsidRPr="00D557CF">
        <w:rPr>
          <w:rFonts w:cs="FrankRuehl" w:hint="cs"/>
          <w:vanish/>
          <w:sz w:val="22"/>
          <w:szCs w:val="22"/>
          <w:shd w:val="clear" w:color="auto" w:fill="FFFF99"/>
          <w:rtl/>
        </w:rPr>
        <w:t xml:space="preserve">תקנות שירות המדינה (משמעת) (סדרי הדין בערעור או בבקשה לשופט בית המשפט </w:t>
      </w:r>
      <w:r w:rsidRPr="00D557CF">
        <w:rPr>
          <w:rFonts w:cs="FrankRuehl" w:hint="cs"/>
          <w:strike/>
          <w:vanish/>
          <w:sz w:val="22"/>
          <w:szCs w:val="22"/>
          <w:shd w:val="clear" w:color="auto" w:fill="FFFF99"/>
          <w:rtl/>
        </w:rPr>
        <w:t>העליון</w:t>
      </w:r>
      <w:r w:rsidRPr="00D557CF">
        <w:rPr>
          <w:rFonts w:cs="FrankRuehl" w:hint="cs"/>
          <w:vanish/>
          <w:sz w:val="22"/>
          <w:szCs w:val="22"/>
          <w:shd w:val="clear" w:color="auto" w:fill="FFFF99"/>
          <w:rtl/>
        </w:rPr>
        <w:t xml:space="preserve"> </w:t>
      </w:r>
      <w:r w:rsidRPr="00D557CF">
        <w:rPr>
          <w:rFonts w:cs="FrankRuehl" w:hint="cs"/>
          <w:vanish/>
          <w:sz w:val="22"/>
          <w:szCs w:val="22"/>
          <w:u w:val="single"/>
          <w:shd w:val="clear" w:color="auto" w:fill="FFFF99"/>
          <w:rtl/>
        </w:rPr>
        <w:t>המחוזי</w:t>
      </w:r>
      <w:r w:rsidRPr="00D557CF">
        <w:rPr>
          <w:rFonts w:cs="FrankRuehl" w:hint="cs"/>
          <w:vanish/>
          <w:sz w:val="22"/>
          <w:szCs w:val="22"/>
          <w:shd w:val="clear" w:color="auto" w:fill="FFFF99"/>
          <w:rtl/>
        </w:rPr>
        <w:t>), התשכ"ד-1963</w:t>
      </w:r>
      <w:bookmarkEnd w:id="0"/>
    </w:p>
    <w:p w:rsidR="00001573" w:rsidRDefault="00001573" w:rsidP="00AA50E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w:t>
      </w:r>
      <w:r>
        <w:rPr>
          <w:rStyle w:val="default"/>
          <w:rFonts w:cs="FrankRuehl"/>
          <w:rtl/>
        </w:rPr>
        <w:t xml:space="preserve"> </w:t>
      </w:r>
      <w:r>
        <w:rPr>
          <w:rStyle w:val="default"/>
          <w:rFonts w:cs="FrankRuehl" w:hint="cs"/>
          <w:rtl/>
        </w:rPr>
        <w:t>לפי סעיף 43(ה) לחוק שירות המדינה (משמעת), תשכ"ג</w:t>
      </w:r>
      <w:r w:rsidR="00AA50E9">
        <w:rPr>
          <w:rStyle w:val="default"/>
          <w:rFonts w:cs="FrankRuehl" w:hint="cs"/>
          <w:rtl/>
        </w:rPr>
        <w:t>-</w:t>
      </w:r>
      <w:r>
        <w:rPr>
          <w:rStyle w:val="default"/>
          <w:rFonts w:cs="FrankRuehl"/>
          <w:rtl/>
        </w:rPr>
        <w:t xml:space="preserve">1963, </w:t>
      </w:r>
      <w:r>
        <w:rPr>
          <w:rStyle w:val="default"/>
          <w:rFonts w:cs="FrankRuehl" w:hint="cs"/>
          <w:rtl/>
        </w:rPr>
        <w:t>ובתוקף שאר הסמכויות הנתונות לי על פי כל דין, אני מתקין תקנות אל</w:t>
      </w:r>
      <w:r>
        <w:rPr>
          <w:rStyle w:val="default"/>
          <w:rFonts w:cs="FrankRuehl"/>
          <w:rtl/>
        </w:rPr>
        <w:t>ה:</w:t>
      </w:r>
    </w:p>
    <w:p w:rsidR="00001573" w:rsidRDefault="00001573">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8pt;z-index:251649024"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AA50E9">
        <w:rPr>
          <w:rStyle w:val="default"/>
          <w:rFonts w:cs="FrankRuehl"/>
          <w:rtl/>
        </w:rPr>
        <w:t>–</w:t>
      </w:r>
    </w:p>
    <w:p w:rsidR="00001573" w:rsidRDefault="00001573" w:rsidP="00AA50E9">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רעור" </w:t>
      </w:r>
      <w:r w:rsidR="00AA50E9">
        <w:rPr>
          <w:rStyle w:val="default"/>
          <w:rFonts w:cs="FrankRuehl" w:hint="cs"/>
          <w:rtl/>
        </w:rPr>
        <w:t>-</w:t>
      </w:r>
      <w:r>
        <w:rPr>
          <w:rStyle w:val="default"/>
          <w:rFonts w:cs="FrankRuehl"/>
          <w:rtl/>
        </w:rPr>
        <w:t xml:space="preserve"> </w:t>
      </w:r>
      <w:r>
        <w:rPr>
          <w:rStyle w:val="default"/>
          <w:rFonts w:cs="FrankRuehl" w:hint="cs"/>
          <w:rtl/>
        </w:rPr>
        <w:t>ערעור על החלטה של בית דין למשמעת כאמור בסעיף 43 לחוק;</w:t>
      </w:r>
    </w:p>
    <w:p w:rsidR="00001573" w:rsidRDefault="00001573" w:rsidP="00AA50E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קשה" </w:t>
      </w:r>
      <w:r w:rsidR="00AA50E9">
        <w:rPr>
          <w:rStyle w:val="default"/>
          <w:rFonts w:cs="FrankRuehl" w:hint="cs"/>
          <w:rtl/>
        </w:rPr>
        <w:t>-</w:t>
      </w:r>
      <w:r>
        <w:rPr>
          <w:rStyle w:val="default"/>
          <w:rFonts w:cs="FrankRuehl"/>
          <w:rtl/>
        </w:rPr>
        <w:t xml:space="preserve"> </w:t>
      </w:r>
      <w:r>
        <w:rPr>
          <w:rStyle w:val="default"/>
          <w:rFonts w:cs="FrankRuehl" w:hint="cs"/>
          <w:rtl/>
        </w:rPr>
        <w:t>בקשה לעכב ביצוע פיטורים או להורות על החזרה למשרה כאמור בסעיף 43 לחוק.</w:t>
      </w:r>
    </w:p>
    <w:p w:rsidR="00001573" w:rsidRDefault="00001573" w:rsidP="00A141B9">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6pt;z-index:251650048" o:allowincell="f" filled="f" stroked="f" strokecolor="lime" strokeweight=".25pt">
            <v:textbox inset="0,0,0,0">
              <w:txbxContent>
                <w:p w:rsidR="00001573" w:rsidRDefault="00001573" w:rsidP="00AA50E9">
                  <w:pPr>
                    <w:spacing w:line="160" w:lineRule="exact"/>
                    <w:jc w:val="left"/>
                    <w:rPr>
                      <w:rFonts w:cs="Miriam" w:hint="cs"/>
                      <w:sz w:val="18"/>
                      <w:szCs w:val="18"/>
                      <w:rtl/>
                    </w:rPr>
                  </w:pPr>
                  <w:r>
                    <w:rPr>
                      <w:rFonts w:cs="Miriam"/>
                      <w:sz w:val="18"/>
                      <w:szCs w:val="18"/>
                      <w:rtl/>
                    </w:rPr>
                    <w:t>הו</w:t>
                  </w:r>
                  <w:r>
                    <w:rPr>
                      <w:rFonts w:cs="Miriam" w:hint="cs"/>
                      <w:sz w:val="18"/>
                      <w:szCs w:val="18"/>
                      <w:rtl/>
                    </w:rPr>
                    <w:t>דעת ערעור</w:t>
                  </w:r>
                  <w:r w:rsidR="00AA50E9">
                    <w:rPr>
                      <w:rFonts w:cs="Miriam" w:hint="cs"/>
                      <w:sz w:val="18"/>
                      <w:szCs w:val="18"/>
                      <w:rtl/>
                    </w:rPr>
                    <w:t xml:space="preserve"> </w:t>
                  </w:r>
                  <w:r>
                    <w:rPr>
                      <w:rFonts w:cs="Miriam"/>
                      <w:sz w:val="18"/>
                      <w:szCs w:val="18"/>
                      <w:rtl/>
                    </w:rPr>
                    <w:t>וב</w:t>
                  </w:r>
                  <w:r>
                    <w:rPr>
                      <w:rFonts w:cs="Miriam" w:hint="cs"/>
                      <w:sz w:val="18"/>
                      <w:szCs w:val="18"/>
                      <w:rtl/>
                    </w:rPr>
                    <w:t>קשה</w:t>
                  </w:r>
                </w:p>
                <w:p w:rsidR="00A141B9" w:rsidRDefault="00A141B9" w:rsidP="00AA50E9">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 xml:space="preserve">ערער על החלטה של בית דין למשמעת או המבקש לעכב ביצועה או להורות על החזרה למשרה, ימסור </w:t>
      </w:r>
      <w:r>
        <w:rPr>
          <w:rStyle w:val="default"/>
          <w:rFonts w:cs="FrankRuehl"/>
          <w:rtl/>
        </w:rPr>
        <w:t>הו</w:t>
      </w:r>
      <w:r>
        <w:rPr>
          <w:rStyle w:val="default"/>
          <w:rFonts w:cs="FrankRuehl" w:hint="cs"/>
          <w:rtl/>
        </w:rPr>
        <w:t xml:space="preserve">דעת ערעור או יגיש את הבקשה </w:t>
      </w:r>
      <w:r w:rsidR="00A141B9">
        <w:rPr>
          <w:rStyle w:val="default"/>
          <w:rFonts w:cs="FrankRuehl" w:hint="cs"/>
          <w:rtl/>
        </w:rPr>
        <w:t>במזכירות</w:t>
      </w:r>
      <w:r>
        <w:rPr>
          <w:rStyle w:val="default"/>
          <w:rFonts w:cs="FrankRuehl" w:hint="cs"/>
          <w:rtl/>
        </w:rPr>
        <w:t xml:space="preserve"> בית המשפט</w:t>
      </w:r>
      <w:r w:rsidR="00A141B9">
        <w:rPr>
          <w:rStyle w:val="default"/>
          <w:rFonts w:cs="FrankRuehl" w:hint="cs"/>
          <w:rtl/>
        </w:rPr>
        <w:t xml:space="preserve"> המחוזי</w:t>
      </w:r>
      <w:r>
        <w:rPr>
          <w:rStyle w:val="default"/>
          <w:rFonts w:cs="FrankRuehl" w:hint="cs"/>
          <w:rtl/>
        </w:rPr>
        <w:t>.</w:t>
      </w:r>
    </w:p>
    <w:p w:rsidR="00A141B9" w:rsidRPr="00D557CF" w:rsidRDefault="00A141B9" w:rsidP="00A141B9">
      <w:pPr>
        <w:pStyle w:val="P00"/>
        <w:spacing w:before="0"/>
        <w:ind w:left="0" w:right="1134"/>
        <w:rPr>
          <w:rFonts w:cs="FrankRuehl" w:hint="cs"/>
          <w:vanish/>
          <w:color w:val="FF0000"/>
          <w:szCs w:val="20"/>
          <w:shd w:val="clear" w:color="auto" w:fill="FFFF99"/>
          <w:rtl/>
        </w:rPr>
      </w:pPr>
      <w:bookmarkStart w:id="3" w:name="Rov21"/>
      <w:r w:rsidRPr="00D557CF">
        <w:rPr>
          <w:rFonts w:cs="FrankRuehl" w:hint="cs"/>
          <w:vanish/>
          <w:color w:val="FF0000"/>
          <w:szCs w:val="20"/>
          <w:shd w:val="clear" w:color="auto" w:fill="FFFF99"/>
          <w:rtl/>
        </w:rPr>
        <w:t>מיום 1.10.2013</w:t>
      </w:r>
    </w:p>
    <w:p w:rsidR="00A141B9" w:rsidRPr="00D557CF" w:rsidRDefault="00A141B9" w:rsidP="00A141B9">
      <w:pPr>
        <w:pStyle w:val="P00"/>
        <w:spacing w:before="0"/>
        <w:ind w:left="0" w:right="1134"/>
        <w:rPr>
          <w:rFonts w:cs="FrankRuehl" w:hint="cs"/>
          <w:b/>
          <w:bCs/>
          <w:vanish/>
          <w:szCs w:val="20"/>
          <w:shd w:val="clear" w:color="auto" w:fill="FFFF99"/>
          <w:rtl/>
        </w:rPr>
      </w:pPr>
      <w:r w:rsidRPr="00D557CF">
        <w:rPr>
          <w:rFonts w:cs="FrankRuehl" w:hint="cs"/>
          <w:b/>
          <w:bCs/>
          <w:vanish/>
          <w:szCs w:val="20"/>
          <w:shd w:val="clear" w:color="auto" w:fill="FFFF99"/>
          <w:rtl/>
        </w:rPr>
        <w:t>תק' תשע"ד-2013</w:t>
      </w:r>
    </w:p>
    <w:p w:rsidR="00A141B9" w:rsidRPr="00D557CF" w:rsidRDefault="00A141B9" w:rsidP="00A141B9">
      <w:pPr>
        <w:pStyle w:val="P00"/>
        <w:spacing w:before="0"/>
        <w:ind w:left="0" w:right="1134"/>
        <w:rPr>
          <w:rFonts w:cs="FrankRuehl" w:hint="cs"/>
          <w:vanish/>
          <w:szCs w:val="20"/>
          <w:shd w:val="clear" w:color="auto" w:fill="FFFF99"/>
          <w:rtl/>
        </w:rPr>
      </w:pPr>
      <w:hyperlink r:id="rId7" w:history="1">
        <w:r w:rsidRPr="00D557CF">
          <w:rPr>
            <w:rStyle w:val="Hyperlink"/>
            <w:rFonts w:cs="FrankRuehl" w:hint="cs"/>
            <w:vanish/>
            <w:szCs w:val="20"/>
            <w:shd w:val="clear" w:color="auto" w:fill="FFFF99"/>
            <w:rtl/>
          </w:rPr>
          <w:t>ק"ת תשע"ד מס' 7291</w:t>
        </w:r>
      </w:hyperlink>
      <w:r w:rsidRPr="00D557CF">
        <w:rPr>
          <w:rFonts w:cs="FrankRuehl" w:hint="cs"/>
          <w:vanish/>
          <w:szCs w:val="20"/>
          <w:shd w:val="clear" w:color="auto" w:fill="FFFF99"/>
          <w:rtl/>
        </w:rPr>
        <w:t xml:space="preserve"> מיום 17.9.2013 עמ' 34</w:t>
      </w:r>
    </w:p>
    <w:p w:rsidR="00A141B9" w:rsidRPr="00A141B9" w:rsidRDefault="00A141B9" w:rsidP="00A141B9">
      <w:pPr>
        <w:pStyle w:val="P00"/>
        <w:ind w:left="0" w:right="1134"/>
        <w:rPr>
          <w:rFonts w:cs="FrankRuehl" w:hint="cs"/>
          <w:sz w:val="2"/>
          <w:szCs w:val="2"/>
          <w:shd w:val="clear" w:color="auto" w:fill="FFFF99"/>
          <w:rtl/>
        </w:rPr>
      </w:pPr>
      <w:r w:rsidRPr="00D557CF">
        <w:rPr>
          <w:rFonts w:cs="FrankRuehl"/>
          <w:vanish/>
          <w:sz w:val="22"/>
          <w:szCs w:val="22"/>
          <w:shd w:val="clear" w:color="auto" w:fill="FFFF99"/>
          <w:rtl/>
        </w:rPr>
        <w:t>2.</w:t>
      </w:r>
      <w:r w:rsidRPr="00D557CF">
        <w:rPr>
          <w:rFonts w:cs="FrankRuehl"/>
          <w:vanish/>
          <w:sz w:val="22"/>
          <w:szCs w:val="22"/>
          <w:shd w:val="clear" w:color="auto" w:fill="FFFF99"/>
          <w:rtl/>
        </w:rPr>
        <w:tab/>
        <w:t>המ</w:t>
      </w:r>
      <w:r w:rsidRPr="00D557CF">
        <w:rPr>
          <w:rFonts w:cs="FrankRuehl" w:hint="cs"/>
          <w:vanish/>
          <w:sz w:val="22"/>
          <w:szCs w:val="22"/>
          <w:shd w:val="clear" w:color="auto" w:fill="FFFF99"/>
          <w:rtl/>
        </w:rPr>
        <w:t xml:space="preserve">ערער על החלטה של בית דין למשמעת או המבקש לעכב ביצועה או להורות על החזרה למשרה, ימסור </w:t>
      </w:r>
      <w:r w:rsidRPr="00D557CF">
        <w:rPr>
          <w:rFonts w:cs="FrankRuehl"/>
          <w:vanish/>
          <w:sz w:val="22"/>
          <w:szCs w:val="22"/>
          <w:shd w:val="clear" w:color="auto" w:fill="FFFF99"/>
          <w:rtl/>
        </w:rPr>
        <w:t>הו</w:t>
      </w:r>
      <w:r w:rsidRPr="00D557CF">
        <w:rPr>
          <w:rFonts w:cs="FrankRuehl" w:hint="cs"/>
          <w:vanish/>
          <w:sz w:val="22"/>
          <w:szCs w:val="22"/>
          <w:shd w:val="clear" w:color="auto" w:fill="FFFF99"/>
          <w:rtl/>
        </w:rPr>
        <w:t xml:space="preserve">דעת ערעור או יגיש את הבקשה </w:t>
      </w:r>
      <w:r w:rsidRPr="00D557CF">
        <w:rPr>
          <w:rFonts w:cs="FrankRuehl" w:hint="cs"/>
          <w:strike/>
          <w:vanish/>
          <w:sz w:val="22"/>
          <w:szCs w:val="22"/>
          <w:shd w:val="clear" w:color="auto" w:fill="FFFF99"/>
          <w:rtl/>
        </w:rPr>
        <w:t>במשרד הרישום של בית המשפט העליון</w:t>
      </w:r>
      <w:r w:rsidRPr="00D557CF">
        <w:rPr>
          <w:rFonts w:cs="FrankRuehl" w:hint="cs"/>
          <w:vanish/>
          <w:sz w:val="22"/>
          <w:szCs w:val="22"/>
          <w:shd w:val="clear" w:color="auto" w:fill="FFFF99"/>
          <w:rtl/>
        </w:rPr>
        <w:t xml:space="preserve"> </w:t>
      </w:r>
      <w:r w:rsidRPr="00D557CF">
        <w:rPr>
          <w:rFonts w:cs="FrankRuehl" w:hint="cs"/>
          <w:vanish/>
          <w:sz w:val="22"/>
          <w:szCs w:val="22"/>
          <w:u w:val="single"/>
          <w:shd w:val="clear" w:color="auto" w:fill="FFFF99"/>
          <w:rtl/>
        </w:rPr>
        <w:t>במזכירות בית המשפט המחוזי</w:t>
      </w:r>
      <w:r w:rsidRPr="00D557CF">
        <w:rPr>
          <w:rFonts w:cs="FrankRuehl" w:hint="cs"/>
          <w:vanish/>
          <w:sz w:val="22"/>
          <w:szCs w:val="22"/>
          <w:shd w:val="clear" w:color="auto" w:fill="FFFF99"/>
          <w:rtl/>
        </w:rPr>
        <w:t>.</w:t>
      </w:r>
      <w:bookmarkEnd w:id="3"/>
    </w:p>
    <w:p w:rsidR="00001573" w:rsidRDefault="00001573">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4.3pt;z-index:251651072"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המ</w:t>
                  </w:r>
                  <w:r>
                    <w:rPr>
                      <w:rFonts w:cs="Miriam" w:hint="cs"/>
                      <w:sz w:val="18"/>
                      <w:szCs w:val="18"/>
                      <w:rtl/>
                    </w:rPr>
                    <w:t>שיב</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שיב בערעור או בבקשה יהיה המאשים בפני בית הדין למשמעת.</w:t>
      </w:r>
    </w:p>
    <w:p w:rsidR="00001573" w:rsidRDefault="00001573">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22.35pt;z-index:251652096" o:allowincell="f" filled="f" stroked="f" strokecolor="lime" strokeweight=".25pt">
            <v:textbox inset="0,0,0,0">
              <w:txbxContent>
                <w:p w:rsidR="00001573" w:rsidRDefault="00001573" w:rsidP="00AA50E9">
                  <w:pPr>
                    <w:spacing w:line="160" w:lineRule="exact"/>
                    <w:jc w:val="left"/>
                    <w:rPr>
                      <w:rFonts w:cs="Miriam"/>
                      <w:noProof/>
                      <w:sz w:val="18"/>
                      <w:szCs w:val="18"/>
                      <w:rtl/>
                    </w:rPr>
                  </w:pPr>
                  <w:r>
                    <w:rPr>
                      <w:rFonts w:cs="Miriam"/>
                      <w:sz w:val="18"/>
                      <w:szCs w:val="18"/>
                      <w:rtl/>
                    </w:rPr>
                    <w:t>טו</w:t>
                  </w:r>
                  <w:r>
                    <w:rPr>
                      <w:rFonts w:cs="Miriam" w:hint="cs"/>
                      <w:sz w:val="18"/>
                      <w:szCs w:val="18"/>
                      <w:rtl/>
                    </w:rPr>
                    <w:t>פס ערעור</w:t>
                  </w:r>
                  <w:r w:rsidR="00AA50E9">
                    <w:rPr>
                      <w:rFonts w:cs="Miriam" w:hint="cs"/>
                      <w:sz w:val="18"/>
                      <w:szCs w:val="18"/>
                      <w:rtl/>
                    </w:rPr>
                    <w:t xml:space="preserve"> </w:t>
                  </w:r>
                  <w:r>
                    <w:rPr>
                      <w:rFonts w:cs="Miriam"/>
                      <w:sz w:val="18"/>
                      <w:szCs w:val="18"/>
                      <w:rtl/>
                    </w:rPr>
                    <w:t>או</w:t>
                  </w:r>
                  <w:r>
                    <w:rPr>
                      <w:rFonts w:cs="Miriam" w:hint="cs"/>
                      <w:sz w:val="18"/>
                      <w:szCs w:val="18"/>
                      <w:rtl/>
                    </w:rPr>
                    <w:t xml:space="preserve"> בקשה</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דעת ערעור ובקשה ייערכו בטופס המובא בתוספת ובהן יצויינו:</w:t>
      </w:r>
    </w:p>
    <w:p w:rsidR="00001573" w:rsidRDefault="0000157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שם משפחתו ומענו של המערער או המבקש;</w:t>
      </w:r>
    </w:p>
    <w:p w:rsidR="00001573" w:rsidRDefault="0000157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משרד והיחידה בו הוא מ</w:t>
      </w:r>
      <w:r>
        <w:rPr>
          <w:rStyle w:val="default"/>
          <w:rFonts w:cs="FrankRuehl"/>
          <w:rtl/>
        </w:rPr>
        <w:t>וע</w:t>
      </w:r>
      <w:r>
        <w:rPr>
          <w:rStyle w:val="default"/>
          <w:rFonts w:cs="FrankRuehl" w:hint="cs"/>
          <w:rtl/>
        </w:rPr>
        <w:t>סק או היה מועסק;</w:t>
      </w:r>
    </w:p>
    <w:p w:rsidR="00001573" w:rsidRDefault="00001573">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רגתו או תיאור משרתו;</w:t>
      </w:r>
    </w:p>
    <w:p w:rsidR="00001573" w:rsidRDefault="00001573">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ימוקי הערעור או הבקשה;</w:t>
      </w:r>
    </w:p>
    <w:p w:rsidR="00001573" w:rsidRDefault="0000157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עת</w:t>
      </w:r>
      <w:r>
        <w:rPr>
          <w:rStyle w:val="default"/>
          <w:rFonts w:cs="FrankRuehl"/>
          <w:rtl/>
        </w:rPr>
        <w:t>י</w:t>
      </w:r>
      <w:r>
        <w:rPr>
          <w:rStyle w:val="default"/>
          <w:rFonts w:cs="FrankRuehl" w:hint="cs"/>
          <w:rtl/>
        </w:rPr>
        <w:t>רה;</w:t>
      </w:r>
    </w:p>
    <w:p w:rsidR="00001573" w:rsidRDefault="00001573">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ודעה שניתנה רשות לערער, אם ניתנה.</w:t>
      </w:r>
    </w:p>
    <w:p w:rsidR="00001573" w:rsidRDefault="00001573">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0.45pt;z-index:251653120" o:allowincell="f" filled="f" stroked="f" strokecolor="lime" strokeweight=".25pt">
            <v:textbox inset="0,0,0,0">
              <w:txbxContent>
                <w:p w:rsidR="00001573" w:rsidRDefault="00001573" w:rsidP="00AA50E9">
                  <w:pPr>
                    <w:spacing w:line="160" w:lineRule="exact"/>
                    <w:jc w:val="left"/>
                    <w:rPr>
                      <w:rFonts w:cs="Miriam"/>
                      <w:noProof/>
                      <w:sz w:val="18"/>
                      <w:szCs w:val="18"/>
                      <w:rtl/>
                    </w:rPr>
                  </w:pPr>
                  <w:r>
                    <w:rPr>
                      <w:rFonts w:cs="Miriam"/>
                      <w:sz w:val="18"/>
                      <w:szCs w:val="18"/>
                      <w:rtl/>
                    </w:rPr>
                    <w:t>צי</w:t>
                  </w:r>
                  <w:r>
                    <w:rPr>
                      <w:rFonts w:cs="Miriam" w:hint="cs"/>
                      <w:sz w:val="18"/>
                      <w:szCs w:val="18"/>
                      <w:rtl/>
                    </w:rPr>
                    <w:t>רוף העתק</w:t>
                  </w:r>
                  <w:r w:rsidR="00AA50E9">
                    <w:rPr>
                      <w:rFonts w:cs="Miriam" w:hint="cs"/>
                      <w:sz w:val="18"/>
                      <w:szCs w:val="18"/>
                      <w:rtl/>
                    </w:rPr>
                    <w:t xml:space="preserve"> </w:t>
                  </w:r>
                  <w:r>
                    <w:rPr>
                      <w:rFonts w:cs="Miriam"/>
                      <w:sz w:val="18"/>
                      <w:szCs w:val="18"/>
                      <w:rtl/>
                    </w:rPr>
                    <w:t>הה</w:t>
                  </w:r>
                  <w:r>
                    <w:rPr>
                      <w:rFonts w:cs="Miriam" w:hint="cs"/>
                      <w:sz w:val="18"/>
                      <w:szCs w:val="18"/>
                      <w:rtl/>
                    </w:rPr>
                    <w:t>חלטה</w:t>
                  </w:r>
                </w:p>
              </w:txbxContent>
            </v:textbox>
            <w10:anchorlock/>
          </v:rect>
        </w:pict>
      </w:r>
      <w:r>
        <w:rPr>
          <w:rStyle w:val="big-number"/>
          <w:rFonts w:cs="Miriam"/>
          <w:rtl/>
        </w:rPr>
        <w:t>5.</w:t>
      </w:r>
      <w:r>
        <w:rPr>
          <w:rStyle w:val="big-number"/>
          <w:rFonts w:cs="Miriam"/>
          <w:rtl/>
        </w:rPr>
        <w:tab/>
      </w:r>
      <w:r>
        <w:rPr>
          <w:rStyle w:val="default"/>
          <w:rFonts w:cs="FrankRuehl"/>
          <w:rtl/>
        </w:rPr>
        <w:t>לה</w:t>
      </w:r>
      <w:r>
        <w:rPr>
          <w:rStyle w:val="default"/>
          <w:rFonts w:cs="FrankRuehl" w:hint="cs"/>
          <w:rtl/>
        </w:rPr>
        <w:t>ודעת הערעור או לבקשה יצורפו ארבעה העתקים של ההחלטה נושא הערעור או הבקשה שאחד מהם נתאשר על ידי אב בית הדין או מי שהוסמך על ידיו</w:t>
      </w:r>
      <w:r>
        <w:rPr>
          <w:rStyle w:val="default"/>
          <w:rFonts w:cs="FrankRuehl"/>
          <w:rtl/>
        </w:rPr>
        <w:t xml:space="preserve"> ל</w:t>
      </w:r>
      <w:r>
        <w:rPr>
          <w:rStyle w:val="default"/>
          <w:rFonts w:cs="FrankRuehl" w:hint="cs"/>
          <w:rtl/>
        </w:rPr>
        <w:t>ענין זה.</w:t>
      </w:r>
    </w:p>
    <w:p w:rsidR="00001573" w:rsidRDefault="00001573" w:rsidP="0004660A">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26.7pt;z-index:251654144" o:allowincell="f" filled="f" stroked="f" strokecolor="lime" strokeweight=".25pt">
            <v:textbox inset="0,0,0,0">
              <w:txbxContent>
                <w:p w:rsidR="00001573" w:rsidRDefault="00001573" w:rsidP="00AA50E9">
                  <w:pPr>
                    <w:spacing w:line="160" w:lineRule="exact"/>
                    <w:jc w:val="left"/>
                    <w:rPr>
                      <w:rFonts w:cs="Miriam"/>
                      <w:noProof/>
                      <w:sz w:val="18"/>
                      <w:szCs w:val="18"/>
                      <w:rtl/>
                    </w:rPr>
                  </w:pPr>
                  <w:r>
                    <w:rPr>
                      <w:rFonts w:cs="Miriam"/>
                      <w:sz w:val="18"/>
                      <w:szCs w:val="18"/>
                      <w:rtl/>
                    </w:rPr>
                    <w:t>מס</w:t>
                  </w:r>
                  <w:r>
                    <w:rPr>
                      <w:rFonts w:cs="Miriam" w:hint="cs"/>
                      <w:sz w:val="18"/>
                      <w:szCs w:val="18"/>
                      <w:rtl/>
                    </w:rPr>
                    <w:t>ירה לפרקליט</w:t>
                  </w:r>
                  <w:r w:rsidR="00AA50E9">
                    <w:rPr>
                      <w:rFonts w:cs="Miriam" w:hint="cs"/>
                      <w:sz w:val="18"/>
                      <w:szCs w:val="18"/>
                      <w:rtl/>
                    </w:rPr>
                    <w:t xml:space="preserve"> </w:t>
                  </w:r>
                  <w:r>
                    <w:rPr>
                      <w:rFonts w:cs="Miriam"/>
                      <w:sz w:val="18"/>
                      <w:szCs w:val="18"/>
                      <w:rtl/>
                    </w:rPr>
                    <w:t>המ</w:t>
                  </w:r>
                  <w:r>
                    <w:rPr>
                      <w:rFonts w:cs="Miriam" w:hint="cs"/>
                      <w:sz w:val="18"/>
                      <w:szCs w:val="18"/>
                      <w:rtl/>
                    </w:rPr>
                    <w:t>דינה ולנציב</w:t>
                  </w:r>
                  <w:r w:rsidR="00AA50E9">
                    <w:rPr>
                      <w:rFonts w:cs="Miriam" w:hint="cs"/>
                      <w:sz w:val="18"/>
                      <w:szCs w:val="18"/>
                      <w:rtl/>
                    </w:rPr>
                    <w:t xml:space="preserve"> </w:t>
                  </w:r>
                  <w:r>
                    <w:rPr>
                      <w:rFonts w:cs="Miriam"/>
                      <w:sz w:val="18"/>
                      <w:szCs w:val="18"/>
                      <w:rtl/>
                    </w:rPr>
                    <w:t>הש</w:t>
                  </w:r>
                  <w:r>
                    <w:rPr>
                      <w:rFonts w:cs="Miriam" w:hint="cs"/>
                      <w:sz w:val="18"/>
                      <w:szCs w:val="18"/>
                      <w:rtl/>
                    </w:rPr>
                    <w:t>ירות</w:t>
                  </w:r>
                </w:p>
              </w:txbxContent>
            </v:textbox>
            <w10:anchorlock/>
          </v:rect>
        </w:pict>
      </w:r>
      <w:r>
        <w:rPr>
          <w:rStyle w:val="big-number"/>
          <w:rFonts w:cs="Miriam"/>
          <w:rtl/>
        </w:rPr>
        <w:t>6</w:t>
      </w:r>
      <w:r w:rsidRPr="0004660A">
        <w:rPr>
          <w:rStyle w:val="default"/>
          <w:rFonts w:cs="FrankRuehl"/>
          <w:rtl/>
        </w:rPr>
        <w:t>.</w:t>
      </w:r>
      <w:r w:rsidRPr="0004660A">
        <w:rPr>
          <w:rStyle w:val="default"/>
          <w:rFonts w:cs="FrankRuehl"/>
          <w:rtl/>
        </w:rPr>
        <w:tab/>
      </w:r>
      <w:r>
        <w:rPr>
          <w:rStyle w:val="default"/>
          <w:rFonts w:cs="FrankRuehl"/>
          <w:rtl/>
        </w:rPr>
        <w:t>הע</w:t>
      </w:r>
      <w:r>
        <w:rPr>
          <w:rStyle w:val="default"/>
          <w:rFonts w:cs="FrankRuehl" w:hint="cs"/>
          <w:rtl/>
        </w:rPr>
        <w:t>תק מ</w:t>
      </w:r>
      <w:r>
        <w:rPr>
          <w:rStyle w:val="default"/>
          <w:rFonts w:cs="FrankRuehl"/>
          <w:rtl/>
        </w:rPr>
        <w:t>הו</w:t>
      </w:r>
      <w:r>
        <w:rPr>
          <w:rStyle w:val="default"/>
          <w:rFonts w:cs="FrankRuehl" w:hint="cs"/>
          <w:rtl/>
        </w:rPr>
        <w:t>דעת הערעור או מהבקשה על נספחיה יימסר לפרקליט המדינה ולנציב השירות.</w:t>
      </w:r>
    </w:p>
    <w:p w:rsidR="00AA50E9" w:rsidRDefault="00AA50E9">
      <w:pPr>
        <w:pStyle w:val="P00"/>
        <w:spacing w:before="72"/>
        <w:ind w:left="0" w:right="1134"/>
        <w:rPr>
          <w:rStyle w:val="default"/>
          <w:rFonts w:cs="FrankRuehl"/>
          <w:rtl/>
        </w:rPr>
      </w:pPr>
    </w:p>
    <w:p w:rsidR="00001573" w:rsidRDefault="00001573">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2.6pt;z-index:251655168"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חז</w:t>
                  </w:r>
                  <w:r>
                    <w:rPr>
                      <w:rFonts w:cs="Miriam" w:hint="cs"/>
                      <w:sz w:val="18"/>
                      <w:szCs w:val="18"/>
                      <w:rtl/>
                    </w:rPr>
                    <w:t>רה</w:t>
                  </w:r>
                </w:p>
              </w:txbxContent>
            </v:textbox>
            <w10:anchorlock/>
          </v:rect>
        </w:pict>
      </w:r>
      <w:r>
        <w:rPr>
          <w:rStyle w:val="big-number"/>
          <w:rFonts w:cs="Miriam"/>
          <w:rtl/>
        </w:rPr>
        <w:t>7.</w:t>
      </w:r>
      <w:r>
        <w:rPr>
          <w:rStyle w:val="big-number"/>
          <w:rFonts w:cs="Miriam"/>
          <w:rtl/>
        </w:rPr>
        <w:tab/>
      </w:r>
      <w:r>
        <w:rPr>
          <w:rStyle w:val="default"/>
          <w:rFonts w:cs="FrankRuehl"/>
          <w:rtl/>
        </w:rPr>
        <w:t>מע</w:t>
      </w:r>
      <w:r>
        <w:rPr>
          <w:rStyle w:val="default"/>
          <w:rFonts w:cs="FrankRuehl" w:hint="cs"/>
          <w:rtl/>
        </w:rPr>
        <w:t>רער או מבקש רשאי לחזור בו מערעורו או מבקשתו בכל שלב של הדיון בהם צד למתן ההחלטה; הוחל בדיון, לא יחזור בו כאמור אלא ברשות השופט.</w:t>
      </w:r>
    </w:p>
    <w:p w:rsidR="00001573" w:rsidRDefault="00001573">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8.9pt;z-index:251656192"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אי</w:t>
                  </w:r>
                  <w:r>
                    <w:rPr>
                      <w:rFonts w:cs="Miriam" w:hint="cs"/>
                      <w:sz w:val="18"/>
                      <w:szCs w:val="18"/>
                      <w:rtl/>
                    </w:rPr>
                    <w:t>חוד ערעורים</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גשו על אותה החלטה של בית דין ערעורים או בקשות ע</w:t>
      </w:r>
      <w:r>
        <w:rPr>
          <w:rStyle w:val="default"/>
          <w:rFonts w:cs="FrankRuehl"/>
          <w:rtl/>
        </w:rPr>
        <w:t xml:space="preserve">ל </w:t>
      </w:r>
      <w:r>
        <w:rPr>
          <w:rStyle w:val="default"/>
          <w:rFonts w:cs="FrankRuehl" w:hint="cs"/>
          <w:rtl/>
        </w:rPr>
        <w:t>ידי יותר מבעל דין אחד, רשאי השופט הדן בענין להורות על איחוד הערעורים או הבקשות, לפי הענין.</w:t>
      </w:r>
    </w:p>
    <w:p w:rsidR="00001573" w:rsidRDefault="00001573">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3.95pt;z-index:251657216"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נו</w:t>
                  </w:r>
                  <w:r>
                    <w:rPr>
                      <w:rFonts w:cs="Miriam" w:hint="cs"/>
                      <w:sz w:val="18"/>
                      <w:szCs w:val="18"/>
                      <w:rtl/>
                    </w:rPr>
                    <w:t>כחות בעלי הדין</w:t>
                  </w:r>
                </w:p>
              </w:txbxContent>
            </v:textbox>
            <w10:anchorlock/>
          </v:rect>
        </w:pict>
      </w:r>
      <w:r>
        <w:rPr>
          <w:rStyle w:val="big-number"/>
          <w:rFonts w:cs="Miriam"/>
          <w:rtl/>
        </w:rPr>
        <w:t>9.</w:t>
      </w:r>
      <w:r>
        <w:rPr>
          <w:rStyle w:val="big-number"/>
          <w:rFonts w:cs="Miriam"/>
          <w:rtl/>
        </w:rPr>
        <w:tab/>
      </w:r>
      <w:r>
        <w:rPr>
          <w:rStyle w:val="default"/>
          <w:rFonts w:cs="FrankRuehl"/>
          <w:rtl/>
        </w:rPr>
        <w:t>הד</w:t>
      </w:r>
      <w:r>
        <w:rPr>
          <w:rStyle w:val="default"/>
          <w:rFonts w:cs="FrankRuehl" w:hint="cs"/>
          <w:rtl/>
        </w:rPr>
        <w:t>יון בערעור או בבקשה יהיה בנוכחות בעלי הדין; אולם אם הוזמן בעל דין ולא התייצב, רשאי השופט לדון בערעור שלא בפניו; לא התייצב המערער, רשאי השו</w:t>
      </w:r>
      <w:r>
        <w:rPr>
          <w:rStyle w:val="default"/>
          <w:rFonts w:cs="FrankRuehl"/>
          <w:rtl/>
        </w:rPr>
        <w:t>פ</w:t>
      </w:r>
      <w:r>
        <w:rPr>
          <w:rStyle w:val="default"/>
          <w:rFonts w:cs="FrankRuehl" w:hint="cs"/>
          <w:rtl/>
        </w:rPr>
        <w:t>ט למחוק את הערעור.</w:t>
      </w:r>
    </w:p>
    <w:p w:rsidR="00001573" w:rsidRDefault="00001573">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4.65pt;z-index:251658240"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סד</w:t>
                  </w:r>
                  <w:r>
                    <w:rPr>
                      <w:rFonts w:cs="Miriam" w:hint="cs"/>
                      <w:sz w:val="18"/>
                      <w:szCs w:val="18"/>
                      <w:rtl/>
                    </w:rPr>
                    <w:t>ר הטי</w:t>
                  </w:r>
                  <w:r>
                    <w:rPr>
                      <w:rFonts w:cs="Miriam"/>
                      <w:sz w:val="18"/>
                      <w:szCs w:val="18"/>
                      <w:rtl/>
                    </w:rPr>
                    <w:t>עו</w:t>
                  </w:r>
                  <w:r>
                    <w:rPr>
                      <w:rFonts w:cs="Miriam" w:hint="cs"/>
                      <w:sz w:val="18"/>
                      <w:szCs w:val="18"/>
                      <w:rtl/>
                    </w:rPr>
                    <w:t>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ערעור או בבקשה יטען תחילה המערער או המבקש ואחריו המשיב אלא אם הורה השופט על דרך אחרת; אוחדו ערעורים או בקשות, יקבע השופט את סדר הטענות בין הצדדים.</w:t>
      </w:r>
    </w:p>
    <w:p w:rsidR="00001573" w:rsidRDefault="0000157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 השופט להרשות לכל אחד מבעלי הדין להוסיף ולטעון או להשיב על טענות בעל הדין האחר.</w:t>
      </w:r>
    </w:p>
    <w:p w:rsidR="00001573" w:rsidRDefault="00001573">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3.7pt;z-index:251659264"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רא</w:t>
                  </w:r>
                  <w:r>
                    <w:rPr>
                      <w:rFonts w:cs="Miriam" w:hint="cs"/>
                      <w:sz w:val="18"/>
                      <w:szCs w:val="18"/>
                      <w:rtl/>
                    </w:rPr>
                    <w:t>יות נוספות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 xml:space="preserve">רער או מבקש אינו רשאי להביא ראיות נוספות, בין בכתב ובין בעל פה, לפני השופט, ואולם אם בית הדין סירב לקבל ראיות שצריך היה לקבלן או אם השופט סבור שכדי לאפשר לו מתן פסק דין, או מכל סיבה אחרת, דרושה הצגת מסמך או </w:t>
      </w:r>
      <w:r>
        <w:rPr>
          <w:rStyle w:val="default"/>
          <w:rFonts w:cs="FrankRuehl"/>
          <w:rtl/>
        </w:rPr>
        <w:t>ח</w:t>
      </w:r>
      <w:r>
        <w:rPr>
          <w:rStyle w:val="default"/>
          <w:rFonts w:cs="FrankRuehl" w:hint="cs"/>
          <w:rtl/>
        </w:rPr>
        <w:t>קירת עד, רשאי השופט להתיר הבאת הראיות הנוספות</w:t>
      </w:r>
      <w:r>
        <w:rPr>
          <w:rStyle w:val="default"/>
          <w:rFonts w:cs="FrankRuehl"/>
          <w:rtl/>
        </w:rPr>
        <w:t>.</w:t>
      </w:r>
    </w:p>
    <w:p w:rsidR="00001573" w:rsidRDefault="00001573">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תיר השופט הבאת ראיות נוספות, ירשום את הטעמים לכך.</w:t>
      </w:r>
    </w:p>
    <w:p w:rsidR="00001573" w:rsidRDefault="00001573">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22.8pt;z-index:251660288" o:allowincell="f" filled="f" stroked="f" strokecolor="lime" strokeweight=".25pt">
            <v:textbox inset="0,0,0,0">
              <w:txbxContent>
                <w:p w:rsidR="00001573" w:rsidRDefault="00001573" w:rsidP="00AA50E9">
                  <w:pPr>
                    <w:spacing w:line="160" w:lineRule="exact"/>
                    <w:jc w:val="left"/>
                    <w:rPr>
                      <w:rFonts w:cs="Miriam"/>
                      <w:noProof/>
                      <w:sz w:val="18"/>
                      <w:szCs w:val="18"/>
                      <w:rtl/>
                    </w:rPr>
                  </w:pPr>
                  <w:r>
                    <w:rPr>
                      <w:rFonts w:cs="Miriam"/>
                      <w:sz w:val="18"/>
                      <w:szCs w:val="18"/>
                      <w:rtl/>
                    </w:rPr>
                    <w:t>כי</w:t>
                  </w:r>
                  <w:r>
                    <w:rPr>
                      <w:rFonts w:cs="Miriam" w:hint="cs"/>
                      <w:sz w:val="18"/>
                      <w:szCs w:val="18"/>
                      <w:rtl/>
                    </w:rPr>
                    <w:t>צד גובים</w:t>
                  </w:r>
                  <w:r w:rsidR="00AA50E9">
                    <w:rPr>
                      <w:rFonts w:cs="Miriam" w:hint="cs"/>
                      <w:sz w:val="18"/>
                      <w:szCs w:val="18"/>
                      <w:rtl/>
                    </w:rPr>
                    <w:t xml:space="preserve"> </w:t>
                  </w:r>
                  <w:r>
                    <w:rPr>
                      <w:rFonts w:cs="Miriam"/>
                      <w:sz w:val="18"/>
                      <w:szCs w:val="18"/>
                      <w:rtl/>
                    </w:rPr>
                    <w:t>עד</w:t>
                  </w:r>
                  <w:r>
                    <w:rPr>
                      <w:rFonts w:cs="Miriam" w:hint="cs"/>
                      <w:sz w:val="18"/>
                      <w:szCs w:val="18"/>
                      <w:rtl/>
                    </w:rPr>
                    <w:t>ות נוספת</w:t>
                  </w:r>
                </w:p>
              </w:txbxContent>
            </v:textbox>
            <w10:anchorlock/>
          </v:rect>
        </w:pict>
      </w:r>
      <w:r>
        <w:rPr>
          <w:rStyle w:val="big-number"/>
          <w:rFonts w:cs="Miriam"/>
          <w:rtl/>
        </w:rPr>
        <w:t>12.</w:t>
      </w:r>
      <w:r>
        <w:rPr>
          <w:rStyle w:val="big-number"/>
          <w:rFonts w:cs="Miriam"/>
          <w:rtl/>
        </w:rPr>
        <w:tab/>
      </w:r>
      <w:r>
        <w:rPr>
          <w:rStyle w:val="default"/>
          <w:rFonts w:cs="FrankRuehl"/>
          <w:rtl/>
        </w:rPr>
        <w:t>הת</w:t>
      </w:r>
      <w:r>
        <w:rPr>
          <w:rStyle w:val="default"/>
          <w:rFonts w:cs="FrankRuehl" w:hint="cs"/>
          <w:rtl/>
        </w:rPr>
        <w:t>יר השופט הבאת ראיות נוספות, יכול הוא לגבותן, אם בעל פה, אם בתצהיר ואם בדרך אחרת.</w:t>
      </w:r>
    </w:p>
    <w:p w:rsidR="00001573" w:rsidRDefault="00001573">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23.45pt;z-index:251661312" o:allowincell="f" filled="f" stroked="f" strokecolor="lime" strokeweight=".25pt">
            <v:textbox inset="0,0,0,0">
              <w:txbxContent>
                <w:p w:rsidR="00001573" w:rsidRDefault="00001573" w:rsidP="00AA50E9">
                  <w:pPr>
                    <w:spacing w:line="160" w:lineRule="exact"/>
                    <w:jc w:val="left"/>
                    <w:rPr>
                      <w:rFonts w:cs="Miriam"/>
                      <w:noProof/>
                      <w:sz w:val="18"/>
                      <w:szCs w:val="18"/>
                      <w:rtl/>
                    </w:rPr>
                  </w:pPr>
                  <w:r>
                    <w:rPr>
                      <w:rFonts w:cs="Miriam"/>
                      <w:sz w:val="18"/>
                      <w:szCs w:val="18"/>
                      <w:rtl/>
                    </w:rPr>
                    <w:t>צמ</w:t>
                  </w:r>
                  <w:r>
                    <w:rPr>
                      <w:rFonts w:cs="Miriam" w:hint="cs"/>
                      <w:sz w:val="18"/>
                      <w:szCs w:val="18"/>
                      <w:rtl/>
                    </w:rPr>
                    <w:t>צום הראיות</w:t>
                  </w:r>
                  <w:r w:rsidR="00AA50E9">
                    <w:rPr>
                      <w:rFonts w:cs="Miriam" w:hint="cs"/>
                      <w:sz w:val="18"/>
                      <w:szCs w:val="18"/>
                      <w:rtl/>
                    </w:rPr>
                    <w:t xml:space="preserve"> </w:t>
                  </w:r>
                  <w:r>
                    <w:rPr>
                      <w:rFonts w:cs="Miriam"/>
                      <w:sz w:val="18"/>
                      <w:szCs w:val="18"/>
                      <w:rtl/>
                    </w:rPr>
                    <w:t>הנ</w:t>
                  </w:r>
                  <w:r>
                    <w:rPr>
                      <w:rFonts w:cs="Miriam" w:hint="cs"/>
                      <w:sz w:val="18"/>
                      <w:szCs w:val="18"/>
                      <w:rtl/>
                    </w:rPr>
                    <w:t>וספות</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רה או התיר השופט הבאת ראיות נוספות, יפרש את הענינים שבהם יש לצמצם את הראיות, וירשמם.</w:t>
      </w:r>
    </w:p>
    <w:p w:rsidR="00001573" w:rsidRDefault="00001573">
      <w:pPr>
        <w:pStyle w:val="P00"/>
        <w:spacing w:before="72"/>
        <w:ind w:left="0" w:right="1134"/>
        <w:rPr>
          <w:rStyle w:val="default"/>
          <w:rFonts w:cs="FrankRuehl"/>
          <w:rtl/>
        </w:rPr>
      </w:pPr>
      <w:r>
        <w:rPr>
          <w:lang w:val="he-IL"/>
        </w:rPr>
        <w:pict>
          <v:rect id="_x0000_s1039" style="position:absolute;left:0;text-align:left;margin-left:464.5pt;margin-top:8.05pt;width:75.05pt;height:12.95pt;z-index:251662336"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הח</w:t>
                  </w:r>
                  <w:r>
                    <w:rPr>
                      <w:rFonts w:cs="Miriam" w:hint="cs"/>
                      <w:sz w:val="18"/>
                      <w:szCs w:val="18"/>
                      <w:rtl/>
                    </w:rPr>
                    <w:t>לטה</w:t>
                  </w:r>
                </w:p>
              </w:txbxContent>
            </v:textbox>
            <w10:anchorlock/>
          </v:rect>
        </w:pict>
      </w:r>
      <w:r>
        <w:rPr>
          <w:rStyle w:val="big-number"/>
          <w:rFonts w:cs="Miriam"/>
          <w:rtl/>
        </w:rPr>
        <w:t>14.</w:t>
      </w:r>
      <w:r>
        <w:rPr>
          <w:rStyle w:val="big-number"/>
          <w:rFonts w:cs="Miriam"/>
          <w:rtl/>
        </w:rPr>
        <w:tab/>
      </w:r>
      <w:r>
        <w:rPr>
          <w:rStyle w:val="default"/>
          <w:rFonts w:cs="FrankRuehl"/>
          <w:rtl/>
        </w:rPr>
        <w:t>הח</w:t>
      </w:r>
      <w:r>
        <w:rPr>
          <w:rStyle w:val="default"/>
          <w:rFonts w:cs="FrankRuehl" w:hint="cs"/>
          <w:rtl/>
        </w:rPr>
        <w:t>לטת השופט תנ</w:t>
      </w:r>
      <w:r>
        <w:rPr>
          <w:rStyle w:val="default"/>
          <w:rFonts w:cs="FrankRuehl"/>
          <w:rtl/>
        </w:rPr>
        <w:t>ומ</w:t>
      </w:r>
      <w:r>
        <w:rPr>
          <w:rStyle w:val="default"/>
          <w:rFonts w:cs="FrankRuehl" w:hint="cs"/>
          <w:rtl/>
        </w:rPr>
        <w:t>ק בכתב ותיחתם על ידיו והיא תישמע בפני בעלי הדין שהתייצבו.</w:t>
      </w:r>
    </w:p>
    <w:p w:rsidR="00001573" w:rsidRDefault="00001573">
      <w:pPr>
        <w:pStyle w:val="P00"/>
        <w:spacing w:before="72"/>
        <w:ind w:left="0" w:right="1134"/>
        <w:rPr>
          <w:rStyle w:val="default"/>
          <w:rFonts w:cs="FrankRuehl"/>
          <w:rtl/>
        </w:rPr>
      </w:pPr>
      <w:r>
        <w:rPr>
          <w:lang w:val="he-IL"/>
        </w:rPr>
        <w:pict>
          <v:rect id="_x0000_s1040" style="position:absolute;left:0;text-align:left;margin-left:464.5pt;margin-top:8.05pt;width:75.05pt;height:15.65pt;z-index:251663360" o:allowincell="f" filled="f" stroked="f" strokecolor="lime" strokeweight=".25pt">
            <v:textbox inset="0,0,0,0">
              <w:txbxContent>
                <w:p w:rsidR="00001573" w:rsidRDefault="00001573">
                  <w:pPr>
                    <w:spacing w:line="160" w:lineRule="exact"/>
                    <w:jc w:val="left"/>
                    <w:rPr>
                      <w:rFonts w:cs="Miriam"/>
                      <w:noProof/>
                      <w:sz w:val="18"/>
                      <w:szCs w:val="18"/>
                      <w:rtl/>
                    </w:rPr>
                  </w:pPr>
                  <w:r>
                    <w:rPr>
                      <w:rFonts w:cs="Miriam"/>
                      <w:sz w:val="18"/>
                      <w:szCs w:val="18"/>
                      <w:rtl/>
                    </w:rPr>
                    <w:t>הח</w:t>
                  </w:r>
                  <w:r>
                    <w:rPr>
                      <w:rFonts w:cs="Miriam" w:hint="cs"/>
                      <w:sz w:val="18"/>
                      <w:szCs w:val="18"/>
                      <w:rtl/>
                    </w:rPr>
                    <w:t>לטה והמצאתה</w:t>
                  </w:r>
                </w:p>
              </w:txbxContent>
            </v:textbox>
            <w10:anchorlock/>
          </v:rect>
        </w:pict>
      </w:r>
      <w:r>
        <w:rPr>
          <w:rStyle w:val="big-number"/>
          <w:rFonts w:cs="Miriam"/>
          <w:rtl/>
        </w:rPr>
        <w:t>15.</w:t>
      </w:r>
      <w:r>
        <w:rPr>
          <w:rStyle w:val="big-number"/>
          <w:rFonts w:cs="Miriam"/>
          <w:rtl/>
        </w:rPr>
        <w:tab/>
      </w:r>
      <w:r>
        <w:rPr>
          <w:rStyle w:val="default"/>
          <w:rFonts w:cs="FrankRuehl"/>
          <w:rtl/>
        </w:rPr>
        <w:t>הע</w:t>
      </w:r>
      <w:r>
        <w:rPr>
          <w:rStyle w:val="default"/>
          <w:rFonts w:cs="FrankRuehl" w:hint="cs"/>
          <w:rtl/>
        </w:rPr>
        <w:t>תק מהחלטת השופט יומצא למערער, למבקש ולמשיב.</w:t>
      </w:r>
    </w:p>
    <w:p w:rsidR="00001573" w:rsidRDefault="00001573" w:rsidP="00D557CF">
      <w:pPr>
        <w:pStyle w:val="P00"/>
        <w:spacing w:before="72"/>
        <w:ind w:left="0" w:right="1134"/>
        <w:rPr>
          <w:rStyle w:val="default"/>
          <w:rFonts w:cs="FrankRuehl" w:hint="cs"/>
          <w:rtl/>
        </w:rPr>
      </w:pPr>
      <w:bookmarkStart w:id="15" w:name="Seif14"/>
      <w:bookmarkEnd w:id="15"/>
      <w:r>
        <w:rPr>
          <w:lang w:val="he-IL"/>
        </w:rPr>
        <w:pict>
          <v:rect id="_x0000_s1041" style="position:absolute;left:0;text-align:left;margin-left:464.5pt;margin-top:8.05pt;width:75.05pt;height:17pt;z-index:251664384" o:allowincell="f" filled="f" stroked="f" strokecolor="lime" strokeweight=".25pt">
            <v:textbox inset="0,0,0,0">
              <w:txbxContent>
                <w:p w:rsidR="00001573" w:rsidRDefault="00001573">
                  <w:pPr>
                    <w:spacing w:line="160" w:lineRule="exact"/>
                    <w:jc w:val="left"/>
                    <w:rPr>
                      <w:rFonts w:cs="Miriam" w:hint="cs"/>
                      <w:noProof/>
                      <w:sz w:val="18"/>
                      <w:szCs w:val="18"/>
                      <w:rtl/>
                    </w:rPr>
                  </w:pPr>
                  <w:r>
                    <w:rPr>
                      <w:rFonts w:cs="Miriam"/>
                      <w:sz w:val="18"/>
                      <w:szCs w:val="18"/>
                      <w:rtl/>
                    </w:rPr>
                    <w:t>הע</w:t>
                  </w:r>
                  <w:r>
                    <w:rPr>
                      <w:rFonts w:cs="Miriam" w:hint="cs"/>
                      <w:sz w:val="18"/>
                      <w:szCs w:val="18"/>
                      <w:rtl/>
                    </w:rPr>
                    <w:t>ברת חומר הדיון</w:t>
                  </w:r>
                </w:p>
                <w:p w:rsidR="00D557CF" w:rsidRDefault="00D557CF">
                  <w:pPr>
                    <w:spacing w:line="160" w:lineRule="exact"/>
                    <w:jc w:val="lef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rtl/>
        </w:rPr>
        <w:t>16</w:t>
      </w:r>
      <w:r w:rsidRPr="0004660A">
        <w:rPr>
          <w:rStyle w:val="default"/>
          <w:rFonts w:cs="FrankRuehl"/>
          <w:rtl/>
        </w:rPr>
        <w:t>.</w:t>
      </w:r>
      <w:r w:rsidRPr="0004660A">
        <w:rPr>
          <w:rStyle w:val="default"/>
          <w:rFonts w:cs="FrankRuehl"/>
          <w:rtl/>
        </w:rPr>
        <w:tab/>
      </w:r>
      <w:r>
        <w:rPr>
          <w:rStyle w:val="default"/>
          <w:rFonts w:cs="FrankRuehl"/>
          <w:rtl/>
        </w:rPr>
        <w:t>הו</w:t>
      </w:r>
      <w:r>
        <w:rPr>
          <w:rStyle w:val="default"/>
          <w:rFonts w:cs="FrankRuehl" w:hint="cs"/>
          <w:rtl/>
        </w:rPr>
        <w:t xml:space="preserve">גשה הודעת ערעור או בקשה, יעביר נציב השירות את תיק בית הדין למשמעת </w:t>
      </w:r>
      <w:r w:rsidR="00D557CF">
        <w:rPr>
          <w:rStyle w:val="default"/>
          <w:rFonts w:cs="FrankRuehl" w:hint="cs"/>
          <w:rtl/>
        </w:rPr>
        <w:t>למזכירות</w:t>
      </w:r>
      <w:r>
        <w:rPr>
          <w:rStyle w:val="default"/>
          <w:rFonts w:cs="FrankRuehl" w:hint="cs"/>
          <w:rtl/>
        </w:rPr>
        <w:t xml:space="preserve"> בית המשפט </w:t>
      </w:r>
      <w:r w:rsidR="00D557CF">
        <w:rPr>
          <w:rStyle w:val="default"/>
          <w:rFonts w:cs="FrankRuehl" w:hint="cs"/>
          <w:rtl/>
        </w:rPr>
        <w:t>המחוזי</w:t>
      </w:r>
      <w:r>
        <w:rPr>
          <w:rStyle w:val="default"/>
          <w:rFonts w:cs="FrankRuehl" w:hint="cs"/>
          <w:rtl/>
        </w:rPr>
        <w:t>.</w:t>
      </w:r>
    </w:p>
    <w:p w:rsidR="00A141B9" w:rsidRPr="00D557CF" w:rsidRDefault="00A141B9" w:rsidP="00A141B9">
      <w:pPr>
        <w:pStyle w:val="P00"/>
        <w:spacing w:before="0"/>
        <w:ind w:left="0" w:right="1134"/>
        <w:rPr>
          <w:rFonts w:cs="FrankRuehl" w:hint="cs"/>
          <w:vanish/>
          <w:color w:val="FF0000"/>
          <w:szCs w:val="20"/>
          <w:shd w:val="clear" w:color="auto" w:fill="FFFF99"/>
          <w:rtl/>
        </w:rPr>
      </w:pPr>
      <w:bookmarkStart w:id="16" w:name="Rov22"/>
      <w:r w:rsidRPr="00D557CF">
        <w:rPr>
          <w:rFonts w:cs="FrankRuehl" w:hint="cs"/>
          <w:vanish/>
          <w:color w:val="FF0000"/>
          <w:szCs w:val="20"/>
          <w:shd w:val="clear" w:color="auto" w:fill="FFFF99"/>
          <w:rtl/>
        </w:rPr>
        <w:t>מיום 1.10.2013</w:t>
      </w:r>
    </w:p>
    <w:p w:rsidR="00A141B9" w:rsidRPr="00D557CF" w:rsidRDefault="00A141B9" w:rsidP="00A141B9">
      <w:pPr>
        <w:pStyle w:val="P00"/>
        <w:spacing w:before="0"/>
        <w:ind w:left="0" w:right="1134"/>
        <w:rPr>
          <w:rFonts w:cs="FrankRuehl" w:hint="cs"/>
          <w:b/>
          <w:bCs/>
          <w:vanish/>
          <w:szCs w:val="20"/>
          <w:shd w:val="clear" w:color="auto" w:fill="FFFF99"/>
          <w:rtl/>
        </w:rPr>
      </w:pPr>
      <w:r w:rsidRPr="00D557CF">
        <w:rPr>
          <w:rFonts w:cs="FrankRuehl" w:hint="cs"/>
          <w:b/>
          <w:bCs/>
          <w:vanish/>
          <w:szCs w:val="20"/>
          <w:shd w:val="clear" w:color="auto" w:fill="FFFF99"/>
          <w:rtl/>
        </w:rPr>
        <w:t>תק' תשע"ד-2013</w:t>
      </w:r>
    </w:p>
    <w:p w:rsidR="00A141B9" w:rsidRPr="00D557CF" w:rsidRDefault="00A141B9" w:rsidP="00A141B9">
      <w:pPr>
        <w:pStyle w:val="P00"/>
        <w:spacing w:before="0"/>
        <w:ind w:left="0" w:right="1134"/>
        <w:rPr>
          <w:rFonts w:cs="FrankRuehl" w:hint="cs"/>
          <w:vanish/>
          <w:szCs w:val="20"/>
          <w:shd w:val="clear" w:color="auto" w:fill="FFFF99"/>
          <w:rtl/>
        </w:rPr>
      </w:pPr>
      <w:hyperlink r:id="rId8" w:history="1">
        <w:r w:rsidRPr="00D557CF">
          <w:rPr>
            <w:rStyle w:val="Hyperlink"/>
            <w:rFonts w:cs="FrankRuehl" w:hint="cs"/>
            <w:vanish/>
            <w:szCs w:val="20"/>
            <w:shd w:val="clear" w:color="auto" w:fill="FFFF99"/>
            <w:rtl/>
          </w:rPr>
          <w:t>ק"ת תשע"ד מס' 7291</w:t>
        </w:r>
      </w:hyperlink>
      <w:r w:rsidRPr="00D557CF">
        <w:rPr>
          <w:rFonts w:cs="FrankRuehl" w:hint="cs"/>
          <w:vanish/>
          <w:szCs w:val="20"/>
          <w:shd w:val="clear" w:color="auto" w:fill="FFFF99"/>
          <w:rtl/>
        </w:rPr>
        <w:t xml:space="preserve"> מיום 17.9.2013 עמ' 34</w:t>
      </w:r>
    </w:p>
    <w:p w:rsidR="00A141B9" w:rsidRPr="00D557CF" w:rsidRDefault="00A141B9" w:rsidP="00D557CF">
      <w:pPr>
        <w:pStyle w:val="P00"/>
        <w:ind w:left="0" w:right="1134"/>
        <w:rPr>
          <w:rStyle w:val="default"/>
          <w:rFonts w:cs="FrankRuehl" w:hint="cs"/>
          <w:sz w:val="2"/>
          <w:szCs w:val="2"/>
          <w:rtl/>
        </w:rPr>
      </w:pPr>
      <w:r w:rsidRPr="00D557CF">
        <w:rPr>
          <w:rStyle w:val="default"/>
          <w:rFonts w:cs="FrankRuehl"/>
          <w:vanish/>
          <w:sz w:val="22"/>
          <w:szCs w:val="22"/>
          <w:shd w:val="clear" w:color="auto" w:fill="FFFF99"/>
          <w:rtl/>
        </w:rPr>
        <w:t>16.</w:t>
      </w:r>
      <w:r w:rsidRPr="00D557CF">
        <w:rPr>
          <w:rStyle w:val="default"/>
          <w:rFonts w:cs="FrankRuehl"/>
          <w:vanish/>
          <w:sz w:val="22"/>
          <w:szCs w:val="22"/>
          <w:shd w:val="clear" w:color="auto" w:fill="FFFF99"/>
          <w:rtl/>
        </w:rPr>
        <w:tab/>
        <w:t>הו</w:t>
      </w:r>
      <w:r w:rsidRPr="00D557CF">
        <w:rPr>
          <w:rStyle w:val="default"/>
          <w:rFonts w:cs="FrankRuehl" w:hint="cs"/>
          <w:vanish/>
          <w:sz w:val="22"/>
          <w:szCs w:val="22"/>
          <w:shd w:val="clear" w:color="auto" w:fill="FFFF99"/>
          <w:rtl/>
        </w:rPr>
        <w:t xml:space="preserve">גשה הודעת ערעור או בקשה, יעביר נציב השירות את תיק בית הדין למשמעת </w:t>
      </w:r>
      <w:r w:rsidRPr="00D557CF">
        <w:rPr>
          <w:rStyle w:val="default"/>
          <w:rFonts w:cs="FrankRuehl" w:hint="cs"/>
          <w:strike/>
          <w:vanish/>
          <w:sz w:val="22"/>
          <w:szCs w:val="22"/>
          <w:shd w:val="clear" w:color="auto" w:fill="FFFF99"/>
          <w:rtl/>
        </w:rPr>
        <w:t>למשרד הרישום של בית המשפט העליון</w:t>
      </w:r>
      <w:r w:rsidRPr="00D557CF">
        <w:rPr>
          <w:rStyle w:val="default"/>
          <w:rFonts w:cs="FrankRuehl" w:hint="cs"/>
          <w:vanish/>
          <w:sz w:val="22"/>
          <w:szCs w:val="22"/>
          <w:shd w:val="clear" w:color="auto" w:fill="FFFF99"/>
          <w:rtl/>
        </w:rPr>
        <w:t xml:space="preserve"> </w:t>
      </w:r>
      <w:r w:rsidRPr="00D557CF">
        <w:rPr>
          <w:rStyle w:val="default"/>
          <w:rFonts w:cs="FrankRuehl" w:hint="cs"/>
          <w:vanish/>
          <w:sz w:val="22"/>
          <w:szCs w:val="22"/>
          <w:u w:val="single"/>
          <w:shd w:val="clear" w:color="auto" w:fill="FFFF99"/>
          <w:rtl/>
        </w:rPr>
        <w:t>למזכירות בית המשפט המחוזי</w:t>
      </w:r>
      <w:r w:rsidRPr="00D557CF">
        <w:rPr>
          <w:rStyle w:val="default"/>
          <w:rFonts w:cs="FrankRuehl" w:hint="cs"/>
          <w:vanish/>
          <w:sz w:val="22"/>
          <w:szCs w:val="22"/>
          <w:shd w:val="clear" w:color="auto" w:fill="FFFF99"/>
          <w:rtl/>
        </w:rPr>
        <w:t>.</w:t>
      </w:r>
      <w:bookmarkEnd w:id="16"/>
    </w:p>
    <w:p w:rsidR="00001573" w:rsidRDefault="00001573" w:rsidP="00D557CF">
      <w:pPr>
        <w:pStyle w:val="P00"/>
        <w:spacing w:before="72"/>
        <w:ind w:left="0" w:right="1134"/>
        <w:rPr>
          <w:rStyle w:val="default"/>
          <w:rFonts w:cs="FrankRuehl" w:hint="cs"/>
          <w:rtl/>
        </w:rPr>
      </w:pPr>
      <w:r>
        <w:rPr>
          <w:lang w:val="he-IL"/>
        </w:rPr>
        <w:pict>
          <v:rect id="_x0000_s1042" style="position:absolute;left:0;text-align:left;margin-left:464.5pt;margin-top:8.05pt;width:75.05pt;height:13.1pt;z-index:251665408" o:allowincell="f" filled="f" stroked="f" strokecolor="lime" strokeweight=".25pt">
            <v:textbox inset="0,0,0,0">
              <w:txbxContent>
                <w:p w:rsidR="00001573" w:rsidRDefault="00D557CF">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Fonts w:cs="Miriam"/>
          <w:rtl/>
        </w:rPr>
        <w:t>17.</w:t>
      </w:r>
      <w:r>
        <w:rPr>
          <w:rStyle w:val="big-number"/>
          <w:rFonts w:cs="Miriam"/>
          <w:rtl/>
        </w:rPr>
        <w:tab/>
      </w:r>
      <w:r w:rsidR="00D557CF">
        <w:rPr>
          <w:rStyle w:val="default"/>
          <w:rFonts w:cs="FrankRuehl" w:hint="cs"/>
          <w:rtl/>
        </w:rPr>
        <w:t>(בוטלה)</w:t>
      </w:r>
      <w:r>
        <w:rPr>
          <w:rStyle w:val="default"/>
          <w:rFonts w:cs="FrankRuehl"/>
          <w:rtl/>
        </w:rPr>
        <w:t>.</w:t>
      </w:r>
    </w:p>
    <w:p w:rsidR="00D557CF" w:rsidRPr="00D557CF" w:rsidRDefault="00D557CF" w:rsidP="00D557CF">
      <w:pPr>
        <w:pStyle w:val="P00"/>
        <w:spacing w:before="0"/>
        <w:ind w:left="0" w:right="1134"/>
        <w:rPr>
          <w:rFonts w:cs="FrankRuehl" w:hint="cs"/>
          <w:vanish/>
          <w:color w:val="FF0000"/>
          <w:szCs w:val="20"/>
          <w:shd w:val="clear" w:color="auto" w:fill="FFFF99"/>
          <w:rtl/>
        </w:rPr>
      </w:pPr>
      <w:bookmarkStart w:id="17" w:name="Rov23"/>
      <w:r w:rsidRPr="00D557CF">
        <w:rPr>
          <w:rFonts w:cs="FrankRuehl" w:hint="cs"/>
          <w:vanish/>
          <w:color w:val="FF0000"/>
          <w:szCs w:val="20"/>
          <w:shd w:val="clear" w:color="auto" w:fill="FFFF99"/>
          <w:rtl/>
        </w:rPr>
        <w:t>מיום 1.10.2013</w:t>
      </w:r>
    </w:p>
    <w:p w:rsidR="00D557CF" w:rsidRPr="00D557CF" w:rsidRDefault="00D557CF" w:rsidP="00D557CF">
      <w:pPr>
        <w:pStyle w:val="P00"/>
        <w:spacing w:before="0"/>
        <w:ind w:left="0" w:right="1134"/>
        <w:rPr>
          <w:rFonts w:cs="FrankRuehl" w:hint="cs"/>
          <w:b/>
          <w:bCs/>
          <w:vanish/>
          <w:szCs w:val="20"/>
          <w:shd w:val="clear" w:color="auto" w:fill="FFFF99"/>
          <w:rtl/>
        </w:rPr>
      </w:pPr>
      <w:r w:rsidRPr="00D557CF">
        <w:rPr>
          <w:rFonts w:cs="FrankRuehl" w:hint="cs"/>
          <w:b/>
          <w:bCs/>
          <w:vanish/>
          <w:szCs w:val="20"/>
          <w:shd w:val="clear" w:color="auto" w:fill="FFFF99"/>
          <w:rtl/>
        </w:rPr>
        <w:t>תק' תשע"ד-2013</w:t>
      </w:r>
    </w:p>
    <w:p w:rsidR="00D557CF" w:rsidRPr="00D557CF" w:rsidRDefault="00D557CF" w:rsidP="00D557CF">
      <w:pPr>
        <w:pStyle w:val="P00"/>
        <w:spacing w:before="0"/>
        <w:ind w:left="0" w:right="1134"/>
        <w:rPr>
          <w:rFonts w:cs="FrankRuehl" w:hint="cs"/>
          <w:vanish/>
          <w:szCs w:val="20"/>
          <w:shd w:val="clear" w:color="auto" w:fill="FFFF99"/>
          <w:rtl/>
        </w:rPr>
      </w:pPr>
      <w:hyperlink r:id="rId9" w:history="1">
        <w:r w:rsidRPr="00D557CF">
          <w:rPr>
            <w:rStyle w:val="Hyperlink"/>
            <w:rFonts w:cs="FrankRuehl" w:hint="cs"/>
            <w:vanish/>
            <w:szCs w:val="20"/>
            <w:shd w:val="clear" w:color="auto" w:fill="FFFF99"/>
            <w:rtl/>
          </w:rPr>
          <w:t>ק"ת תשע"ד מס' 7291</w:t>
        </w:r>
      </w:hyperlink>
      <w:r w:rsidRPr="00D557CF">
        <w:rPr>
          <w:rFonts w:cs="FrankRuehl" w:hint="cs"/>
          <w:vanish/>
          <w:szCs w:val="20"/>
          <w:shd w:val="clear" w:color="auto" w:fill="FFFF99"/>
          <w:rtl/>
        </w:rPr>
        <w:t xml:space="preserve"> מיום 17.9.2013 עמ' 34</w:t>
      </w:r>
    </w:p>
    <w:p w:rsidR="00D557CF" w:rsidRPr="00D557CF" w:rsidRDefault="00D557CF" w:rsidP="00D557CF">
      <w:pPr>
        <w:pStyle w:val="P00"/>
        <w:spacing w:before="0"/>
        <w:ind w:left="0" w:right="1134"/>
        <w:rPr>
          <w:rFonts w:cs="FrankRuehl" w:hint="cs"/>
          <w:vanish/>
          <w:szCs w:val="20"/>
          <w:shd w:val="clear" w:color="auto" w:fill="FFFF99"/>
          <w:rtl/>
        </w:rPr>
      </w:pPr>
      <w:r w:rsidRPr="00D557CF">
        <w:rPr>
          <w:rFonts w:cs="FrankRuehl" w:hint="cs"/>
          <w:b/>
          <w:bCs/>
          <w:vanish/>
          <w:szCs w:val="20"/>
          <w:shd w:val="clear" w:color="auto" w:fill="FFFF99"/>
          <w:rtl/>
        </w:rPr>
        <w:t>ביטול תקנה 17</w:t>
      </w:r>
    </w:p>
    <w:p w:rsidR="00D557CF" w:rsidRPr="00D557CF" w:rsidRDefault="00D557CF" w:rsidP="00D557CF">
      <w:pPr>
        <w:pStyle w:val="P00"/>
        <w:ind w:left="0" w:right="1134"/>
        <w:rPr>
          <w:rFonts w:cs="FrankRuehl" w:hint="cs"/>
          <w:vanish/>
          <w:szCs w:val="20"/>
          <w:shd w:val="clear" w:color="auto" w:fill="FFFF99"/>
          <w:rtl/>
        </w:rPr>
      </w:pPr>
      <w:r w:rsidRPr="00D557CF">
        <w:rPr>
          <w:rFonts w:cs="FrankRuehl" w:hint="cs"/>
          <w:vanish/>
          <w:szCs w:val="20"/>
          <w:shd w:val="clear" w:color="auto" w:fill="FFFF99"/>
          <w:rtl/>
        </w:rPr>
        <w:t>הנוסח הקודם:</w:t>
      </w:r>
    </w:p>
    <w:p w:rsidR="00D557CF" w:rsidRPr="00D557CF" w:rsidRDefault="00D557CF" w:rsidP="00D557CF">
      <w:pPr>
        <w:pStyle w:val="P00"/>
        <w:spacing w:before="20"/>
        <w:ind w:left="0" w:right="1134"/>
        <w:rPr>
          <w:rStyle w:val="default"/>
          <w:rFonts w:cs="Miriam" w:hint="cs"/>
          <w:strike/>
          <w:vanish/>
          <w:sz w:val="16"/>
          <w:szCs w:val="16"/>
          <w:shd w:val="clear" w:color="auto" w:fill="FFFF99"/>
          <w:rtl/>
        </w:rPr>
      </w:pPr>
      <w:r w:rsidRPr="00D557CF">
        <w:rPr>
          <w:rStyle w:val="default"/>
          <w:rFonts w:cs="Miriam" w:hint="cs"/>
          <w:strike/>
          <w:vanish/>
          <w:sz w:val="16"/>
          <w:szCs w:val="16"/>
          <w:shd w:val="clear" w:color="auto" w:fill="FFFF99"/>
          <w:rtl/>
        </w:rPr>
        <w:t>השם</w:t>
      </w:r>
    </w:p>
    <w:p w:rsidR="00D557CF" w:rsidRPr="00D557CF" w:rsidRDefault="00D557CF" w:rsidP="00D557CF">
      <w:pPr>
        <w:pStyle w:val="P00"/>
        <w:spacing w:before="0"/>
        <w:ind w:left="0" w:right="1134"/>
        <w:rPr>
          <w:rStyle w:val="default"/>
          <w:rFonts w:cs="FrankRuehl" w:hint="cs"/>
          <w:strike/>
          <w:sz w:val="2"/>
          <w:szCs w:val="2"/>
          <w:shd w:val="clear" w:color="auto" w:fill="FFFF99"/>
          <w:rtl/>
        </w:rPr>
      </w:pPr>
      <w:r w:rsidRPr="00D557CF">
        <w:rPr>
          <w:rStyle w:val="default"/>
          <w:rFonts w:cs="FrankRuehl"/>
          <w:strike/>
          <w:vanish/>
          <w:sz w:val="22"/>
          <w:szCs w:val="22"/>
          <w:shd w:val="clear" w:color="auto" w:fill="FFFF99"/>
          <w:rtl/>
        </w:rPr>
        <w:t>17.</w:t>
      </w:r>
      <w:r w:rsidRPr="00D557CF">
        <w:rPr>
          <w:rStyle w:val="default"/>
          <w:rFonts w:cs="FrankRuehl"/>
          <w:strike/>
          <w:vanish/>
          <w:sz w:val="22"/>
          <w:szCs w:val="22"/>
          <w:shd w:val="clear" w:color="auto" w:fill="FFFF99"/>
          <w:rtl/>
        </w:rPr>
        <w:tab/>
        <w:t>לת</w:t>
      </w:r>
      <w:r w:rsidRPr="00D557CF">
        <w:rPr>
          <w:rStyle w:val="default"/>
          <w:rFonts w:cs="FrankRuehl" w:hint="cs"/>
          <w:strike/>
          <w:vanish/>
          <w:sz w:val="22"/>
          <w:szCs w:val="22"/>
          <w:shd w:val="clear" w:color="auto" w:fill="FFFF99"/>
          <w:rtl/>
        </w:rPr>
        <w:t>קנות</w:t>
      </w:r>
      <w:r w:rsidRPr="00D557CF">
        <w:rPr>
          <w:rStyle w:val="default"/>
          <w:rFonts w:cs="FrankRuehl"/>
          <w:strike/>
          <w:vanish/>
          <w:sz w:val="22"/>
          <w:szCs w:val="22"/>
          <w:shd w:val="clear" w:color="auto" w:fill="FFFF99"/>
          <w:rtl/>
        </w:rPr>
        <w:t xml:space="preserve"> א</w:t>
      </w:r>
      <w:r w:rsidRPr="00D557CF">
        <w:rPr>
          <w:rStyle w:val="default"/>
          <w:rFonts w:cs="FrankRuehl" w:hint="cs"/>
          <w:strike/>
          <w:vanish/>
          <w:sz w:val="22"/>
          <w:szCs w:val="22"/>
          <w:shd w:val="clear" w:color="auto" w:fill="FFFF99"/>
          <w:rtl/>
        </w:rPr>
        <w:t>לה ייקרא "תקנות שירות המדינה (משמעת) (סדרי הדין בערעור או בבקשה לשופט בית המשפט העליון), תשכ"ד-</w:t>
      </w:r>
      <w:r w:rsidRPr="00D557CF">
        <w:rPr>
          <w:rStyle w:val="default"/>
          <w:rFonts w:cs="FrankRuehl"/>
          <w:strike/>
          <w:vanish/>
          <w:sz w:val="22"/>
          <w:szCs w:val="22"/>
          <w:shd w:val="clear" w:color="auto" w:fill="FFFF99"/>
          <w:rtl/>
        </w:rPr>
        <w:t>1963".</w:t>
      </w:r>
      <w:bookmarkEnd w:id="17"/>
    </w:p>
    <w:p w:rsidR="00AA50E9" w:rsidRDefault="00AA50E9">
      <w:pPr>
        <w:pStyle w:val="P00"/>
        <w:spacing w:before="72"/>
        <w:ind w:left="0" w:right="1134"/>
        <w:rPr>
          <w:rStyle w:val="default"/>
          <w:rFonts w:cs="FrankRuehl" w:hint="cs"/>
          <w:rtl/>
        </w:rPr>
      </w:pPr>
    </w:p>
    <w:p w:rsidR="00001573" w:rsidRPr="00AA50E9" w:rsidRDefault="00001573">
      <w:pPr>
        <w:pStyle w:val="medium2-header"/>
        <w:keepLines w:val="0"/>
        <w:spacing w:before="72"/>
        <w:ind w:left="0" w:right="1134"/>
        <w:rPr>
          <w:rFonts w:cs="FrankRuehl"/>
          <w:noProof/>
          <w:sz w:val="26"/>
          <w:szCs w:val="26"/>
          <w:rtl/>
        </w:rPr>
      </w:pPr>
      <w:bookmarkStart w:id="18" w:name="med0"/>
      <w:bookmarkEnd w:id="18"/>
      <w:r w:rsidRPr="00AA50E9">
        <w:rPr>
          <w:rFonts w:cs="FrankRuehl"/>
          <w:noProof/>
          <w:sz w:val="26"/>
          <w:szCs w:val="26"/>
          <w:rtl/>
        </w:rPr>
        <w:t>תו</w:t>
      </w:r>
      <w:r w:rsidRPr="00AA50E9">
        <w:rPr>
          <w:rFonts w:cs="FrankRuehl" w:hint="cs"/>
          <w:noProof/>
          <w:sz w:val="26"/>
          <w:szCs w:val="26"/>
          <w:rtl/>
        </w:rPr>
        <w:t>ספת</w:t>
      </w:r>
    </w:p>
    <w:p w:rsidR="00001573" w:rsidRPr="00AA50E9" w:rsidRDefault="00001573" w:rsidP="009F3B48">
      <w:pPr>
        <w:pStyle w:val="medium-header"/>
        <w:keepNext w:val="0"/>
        <w:keepLines w:val="0"/>
        <w:ind w:left="0" w:right="1134"/>
        <w:jc w:val="left"/>
        <w:rPr>
          <w:rFonts w:cs="FrankRuehl"/>
          <w:sz w:val="24"/>
          <w:szCs w:val="24"/>
          <w:rtl/>
        </w:rPr>
      </w:pPr>
      <w:r w:rsidRPr="00AA50E9">
        <w:rPr>
          <w:rFonts w:cs="FrankRuehl"/>
          <w:sz w:val="24"/>
          <w:szCs w:val="24"/>
          <w:rtl/>
        </w:rPr>
        <w:t>(ת</w:t>
      </w:r>
      <w:r w:rsidRPr="00AA50E9">
        <w:rPr>
          <w:rFonts w:cs="FrankRuehl" w:hint="cs"/>
          <w:sz w:val="24"/>
          <w:szCs w:val="24"/>
          <w:rtl/>
        </w:rPr>
        <w:t>קנה 4)</w:t>
      </w:r>
    </w:p>
    <w:p w:rsidR="00001573" w:rsidRPr="009F3B48" w:rsidRDefault="009F3B48" w:rsidP="009F3B48">
      <w:pPr>
        <w:pStyle w:val="header-2"/>
        <w:ind w:left="0" w:right="1134"/>
        <w:jc w:val="left"/>
        <w:rPr>
          <w:rFonts w:cs="FrankRuehl"/>
          <w:sz w:val="24"/>
          <w:szCs w:val="24"/>
          <w:rtl/>
        </w:rPr>
      </w:pPr>
      <w:r>
        <w:rPr>
          <w:rFonts w:cs="FrankRuehl" w:hint="cs"/>
          <w:sz w:val="24"/>
          <w:szCs w:val="24"/>
          <w:rtl/>
        </w:rPr>
        <w:t>[</w:t>
      </w:r>
      <w:hyperlink r:id="rId10" w:history="1">
        <w:r w:rsidR="00001573" w:rsidRPr="00D810CA">
          <w:rPr>
            <w:rStyle w:val="Hyperlink"/>
            <w:rFonts w:cs="FrankRuehl"/>
            <w:sz w:val="24"/>
            <w:szCs w:val="24"/>
            <w:rtl/>
          </w:rPr>
          <w:t>טו</w:t>
        </w:r>
        <w:r w:rsidR="00001573" w:rsidRPr="00D810CA">
          <w:rPr>
            <w:rStyle w:val="Hyperlink"/>
            <w:rFonts w:cs="FrankRuehl" w:hint="cs"/>
            <w:sz w:val="24"/>
            <w:szCs w:val="24"/>
            <w:rtl/>
          </w:rPr>
          <w:t xml:space="preserve">פס ערעור או בקשה לעיכוב ביצוע פיטורים והחזרה </w:t>
        </w:r>
        <w:r w:rsidR="00001573" w:rsidRPr="00D810CA">
          <w:rPr>
            <w:rStyle w:val="Hyperlink"/>
            <w:rFonts w:cs="FrankRuehl"/>
            <w:sz w:val="24"/>
            <w:szCs w:val="24"/>
            <w:rtl/>
          </w:rPr>
          <w:t>לע</w:t>
        </w:r>
        <w:r w:rsidR="00001573" w:rsidRPr="00D810CA">
          <w:rPr>
            <w:rStyle w:val="Hyperlink"/>
            <w:rFonts w:cs="FrankRuehl" w:hint="cs"/>
            <w:sz w:val="24"/>
            <w:szCs w:val="24"/>
            <w:rtl/>
          </w:rPr>
          <w:t>בודה</w:t>
        </w:r>
      </w:hyperlink>
      <w:r>
        <w:rPr>
          <w:rFonts w:cs="FrankRuehl" w:hint="cs"/>
          <w:sz w:val="24"/>
          <w:szCs w:val="24"/>
          <w:rtl/>
        </w:rPr>
        <w:t>]</w:t>
      </w:r>
    </w:p>
    <w:p w:rsidR="00001573" w:rsidRDefault="00001573">
      <w:pPr>
        <w:pStyle w:val="medium-header"/>
        <w:keepNext w:val="0"/>
        <w:keepLines w:val="0"/>
        <w:ind w:left="0" w:right="1134"/>
        <w:rPr>
          <w:rFonts w:cs="FrankRuehl"/>
          <w:sz w:val="26"/>
          <w:rtl/>
        </w:rPr>
      </w:pPr>
    </w:p>
    <w:p w:rsidR="00AA50E9" w:rsidRDefault="00AA50E9">
      <w:pPr>
        <w:pStyle w:val="P00"/>
        <w:spacing w:before="72"/>
        <w:ind w:left="0" w:right="1134"/>
        <w:rPr>
          <w:rFonts w:cs="FrankRuehl" w:hint="cs"/>
          <w:sz w:val="26"/>
          <w:rtl/>
        </w:rPr>
      </w:pPr>
    </w:p>
    <w:p w:rsidR="00001573" w:rsidRDefault="00001573">
      <w:pPr>
        <w:pStyle w:val="sig-0"/>
        <w:ind w:left="0" w:right="1134"/>
        <w:rPr>
          <w:rFonts w:cs="FrankRuehl"/>
          <w:sz w:val="26"/>
          <w:rtl/>
        </w:rPr>
      </w:pPr>
      <w:r>
        <w:rPr>
          <w:rFonts w:cs="FrankRuehl"/>
          <w:sz w:val="26"/>
          <w:rtl/>
        </w:rPr>
        <w:t xml:space="preserve">ב' </w:t>
      </w:r>
      <w:r>
        <w:rPr>
          <w:rFonts w:cs="FrankRuehl" w:hint="cs"/>
          <w:sz w:val="26"/>
          <w:rtl/>
        </w:rPr>
        <w:t>בכסלו תשכ"ד (18 בנובמבר 1963)</w:t>
      </w:r>
      <w:r>
        <w:rPr>
          <w:rFonts w:cs="FrankRuehl"/>
          <w:sz w:val="26"/>
          <w:rtl/>
        </w:rPr>
        <w:tab/>
        <w:t>ד</w:t>
      </w:r>
      <w:r>
        <w:rPr>
          <w:rFonts w:cs="FrankRuehl" w:hint="cs"/>
          <w:sz w:val="26"/>
          <w:rtl/>
        </w:rPr>
        <w:t>ב יוסף</w:t>
      </w:r>
    </w:p>
    <w:p w:rsidR="00001573" w:rsidRDefault="0000157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001573" w:rsidRPr="00AA50E9" w:rsidRDefault="00001573" w:rsidP="00AA50E9">
      <w:pPr>
        <w:pStyle w:val="P00"/>
        <w:spacing w:before="72"/>
        <w:ind w:left="0" w:right="1134"/>
        <w:rPr>
          <w:rFonts w:cs="FrankRuehl"/>
          <w:sz w:val="26"/>
          <w:rtl/>
        </w:rPr>
      </w:pPr>
    </w:p>
    <w:p w:rsidR="00001573" w:rsidRPr="00AA50E9" w:rsidRDefault="00001573" w:rsidP="00AA50E9">
      <w:pPr>
        <w:pStyle w:val="P00"/>
        <w:spacing w:before="72"/>
        <w:ind w:left="0" w:right="1134"/>
        <w:rPr>
          <w:rFonts w:cs="FrankRuehl"/>
          <w:sz w:val="26"/>
          <w:rtl/>
        </w:rPr>
      </w:pPr>
    </w:p>
    <w:p w:rsidR="00001573" w:rsidRPr="00AA50E9" w:rsidRDefault="00001573" w:rsidP="00AA50E9">
      <w:pPr>
        <w:pStyle w:val="P00"/>
        <w:spacing w:before="72"/>
        <w:ind w:left="0" w:right="1134"/>
        <w:rPr>
          <w:rFonts w:cs="FrankRuehl"/>
          <w:sz w:val="26"/>
          <w:rtl/>
        </w:rPr>
      </w:pPr>
      <w:bookmarkStart w:id="19" w:name="LawPartEnd"/>
    </w:p>
    <w:bookmarkEnd w:id="19"/>
    <w:p w:rsidR="005774B8" w:rsidRDefault="005774B8" w:rsidP="00AA50E9">
      <w:pPr>
        <w:pStyle w:val="P00"/>
        <w:spacing w:before="72"/>
        <w:ind w:left="0" w:right="1134"/>
        <w:rPr>
          <w:rFonts w:cs="FrankRuehl"/>
          <w:sz w:val="26"/>
          <w:rtl/>
        </w:rPr>
      </w:pPr>
    </w:p>
    <w:p w:rsidR="005774B8" w:rsidRDefault="005774B8" w:rsidP="00AA50E9">
      <w:pPr>
        <w:pStyle w:val="P00"/>
        <w:spacing w:before="72"/>
        <w:ind w:left="0" w:right="1134"/>
        <w:rPr>
          <w:rFonts w:cs="FrankRuehl"/>
          <w:sz w:val="26"/>
          <w:rtl/>
        </w:rPr>
      </w:pPr>
    </w:p>
    <w:p w:rsidR="005774B8" w:rsidRDefault="005774B8" w:rsidP="005774B8">
      <w:pPr>
        <w:pStyle w:val="P00"/>
        <w:spacing w:before="72"/>
        <w:ind w:left="0" w:right="1134"/>
        <w:jc w:val="center"/>
        <w:rPr>
          <w:rFonts w:cs="David"/>
          <w:color w:val="0000FF"/>
          <w:sz w:val="26"/>
          <w:szCs w:val="24"/>
          <w:u w:val="single"/>
          <w:rtl/>
        </w:rPr>
      </w:pPr>
      <w:hyperlink r:id="rId11" w:history="1">
        <w:r>
          <w:rPr>
            <w:rFonts w:cs="David"/>
            <w:color w:val="0000FF"/>
            <w:sz w:val="26"/>
            <w:szCs w:val="24"/>
            <w:u w:val="single"/>
            <w:rtl/>
          </w:rPr>
          <w:t>הודעה למנויים על עריכה ושינויים במסמכי פסיקה, חקיקה ועוד באתר נבו - הקש כאן</w:t>
        </w:r>
      </w:hyperlink>
    </w:p>
    <w:p w:rsidR="00001573" w:rsidRPr="005774B8" w:rsidRDefault="00001573" w:rsidP="005774B8">
      <w:pPr>
        <w:pStyle w:val="P00"/>
        <w:spacing w:before="72"/>
        <w:ind w:left="0" w:right="1134"/>
        <w:jc w:val="center"/>
        <w:rPr>
          <w:rFonts w:cs="David"/>
          <w:color w:val="0000FF"/>
          <w:sz w:val="26"/>
          <w:szCs w:val="24"/>
          <w:u w:val="single"/>
          <w:rtl/>
        </w:rPr>
      </w:pPr>
    </w:p>
    <w:sectPr w:rsidR="00001573" w:rsidRPr="005774B8">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3EBC" w:rsidRDefault="00343EBC">
      <w:pPr>
        <w:spacing w:line="240" w:lineRule="auto"/>
      </w:pPr>
      <w:r>
        <w:separator/>
      </w:r>
    </w:p>
  </w:endnote>
  <w:endnote w:type="continuationSeparator" w:id="0">
    <w:p w:rsidR="00343EBC" w:rsidRDefault="00343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73" w:rsidRDefault="0000157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01573" w:rsidRDefault="0000157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01573" w:rsidRDefault="0000157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74B8">
      <w:rPr>
        <w:rFonts w:cs="TopType Jerushalmi"/>
        <w:noProof/>
        <w:color w:val="000000"/>
        <w:sz w:val="14"/>
        <w:szCs w:val="14"/>
      </w:rPr>
      <w:t>Z:\000-law\yael\2013\2013-09-29\tav\P221K2_009.doc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73" w:rsidRDefault="0000157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D126E">
      <w:rPr>
        <w:rFonts w:hAnsi="FrankRuehl" w:cs="FrankRuehl"/>
        <w:noProof/>
        <w:sz w:val="24"/>
        <w:szCs w:val="24"/>
        <w:rtl/>
      </w:rPr>
      <w:t>2</w:t>
    </w:r>
    <w:r>
      <w:rPr>
        <w:rFonts w:hAnsi="FrankRuehl" w:cs="FrankRuehl"/>
        <w:sz w:val="24"/>
        <w:szCs w:val="24"/>
        <w:rtl/>
      </w:rPr>
      <w:fldChar w:fldCharType="end"/>
    </w:r>
  </w:p>
  <w:p w:rsidR="00001573" w:rsidRDefault="0000157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01573" w:rsidRDefault="0000157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74B8">
      <w:rPr>
        <w:rFonts w:cs="TopType Jerushalmi"/>
        <w:noProof/>
        <w:color w:val="000000"/>
        <w:sz w:val="14"/>
        <w:szCs w:val="14"/>
      </w:rPr>
      <w:t>Z:\000-law\yael\2013\2013-09-29\tav\P221K2_009.doc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3EBC" w:rsidRDefault="00343EBC" w:rsidP="00AA50E9">
      <w:pPr>
        <w:spacing w:before="60" w:line="240" w:lineRule="auto"/>
        <w:ind w:right="1134"/>
      </w:pPr>
      <w:r>
        <w:separator/>
      </w:r>
    </w:p>
  </w:footnote>
  <w:footnote w:type="continuationSeparator" w:id="0">
    <w:p w:rsidR="00343EBC" w:rsidRDefault="00343EBC">
      <w:pPr>
        <w:spacing w:line="240" w:lineRule="auto"/>
      </w:pPr>
      <w:r>
        <w:continuationSeparator/>
      </w:r>
    </w:p>
  </w:footnote>
  <w:footnote w:id="1">
    <w:p w:rsidR="00AA50E9" w:rsidRDefault="00AA50E9" w:rsidP="00AA50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A50E9">
        <w:rPr>
          <w:rFonts w:cs="FrankRuehl"/>
          <w:rtl/>
        </w:rPr>
        <w:t xml:space="preserve">* </w:t>
      </w:r>
      <w:r>
        <w:rPr>
          <w:rFonts w:cs="FrankRuehl"/>
          <w:rtl/>
        </w:rPr>
        <w:t>פו</w:t>
      </w:r>
      <w:r>
        <w:rPr>
          <w:rFonts w:cs="FrankRuehl" w:hint="cs"/>
          <w:rtl/>
        </w:rPr>
        <w:t xml:space="preserve">רסמו </w:t>
      </w:r>
      <w:hyperlink r:id="rId1" w:history="1">
        <w:r w:rsidRPr="00D87961">
          <w:rPr>
            <w:rStyle w:val="Hyperlink"/>
            <w:rFonts w:cs="FrankRuehl" w:hint="cs"/>
            <w:rtl/>
          </w:rPr>
          <w:t>ק"ת תשכ"ד מס' 1516</w:t>
        </w:r>
      </w:hyperlink>
      <w:r>
        <w:rPr>
          <w:rFonts w:cs="FrankRuehl" w:hint="cs"/>
          <w:rtl/>
        </w:rPr>
        <w:t xml:space="preserve"> מיום 28.11.1963 עמ' 302.</w:t>
      </w:r>
    </w:p>
    <w:p w:rsidR="00C31CEE" w:rsidRPr="00AA50E9" w:rsidRDefault="00A141B9" w:rsidP="00C31C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C31CEE">
          <w:rPr>
            <w:rStyle w:val="Hyperlink"/>
            <w:rFonts w:cs="FrankRuehl" w:hint="cs"/>
            <w:rtl/>
          </w:rPr>
          <w:t>ק"ת תשע"ד מס' 7291</w:t>
        </w:r>
      </w:hyperlink>
      <w:r>
        <w:rPr>
          <w:rFonts w:cs="FrankRuehl" w:hint="cs"/>
          <w:rtl/>
        </w:rPr>
        <w:t xml:space="preserve"> מיום 17.9.2013 עמ' 34 </w:t>
      </w:r>
      <w:r>
        <w:rPr>
          <w:rFonts w:cs="FrankRuehl"/>
          <w:rtl/>
        </w:rPr>
        <w:t>–</w:t>
      </w:r>
      <w:r>
        <w:rPr>
          <w:rFonts w:cs="FrankRuehl" w:hint="cs"/>
          <w:rtl/>
        </w:rPr>
        <w:t xml:space="preserve"> תק' תשע"ד-2013; תחילתן ביום 1.10.2013.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73" w:rsidRDefault="0000157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(משמעת) (סדרי הדין בערעור או בבקשה לשופט בית המשפט העליון), תשכ"ד–1963</w:t>
    </w:r>
  </w:p>
  <w:p w:rsidR="00001573" w:rsidRDefault="000015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573" w:rsidRDefault="0000157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73" w:rsidRDefault="00001573" w:rsidP="00A141B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שירות המדינה (משמעת) (סדרי הדין בערעור או בבקשה לשופט בית המשפט </w:t>
    </w:r>
    <w:r w:rsidR="00A141B9">
      <w:rPr>
        <w:rFonts w:hAnsi="FrankRuehl" w:cs="FrankRuehl" w:hint="cs"/>
        <w:color w:val="000000"/>
        <w:sz w:val="28"/>
        <w:szCs w:val="28"/>
        <w:rtl/>
      </w:rPr>
      <w:t>המחוזי</w:t>
    </w:r>
    <w:r>
      <w:rPr>
        <w:rFonts w:hAnsi="FrankRuehl" w:cs="FrankRuehl"/>
        <w:color w:val="000000"/>
        <w:sz w:val="28"/>
        <w:szCs w:val="28"/>
        <w:rtl/>
      </w:rPr>
      <w:t>), תשכ"ד</w:t>
    </w:r>
    <w:r w:rsidR="00AA50E9">
      <w:rPr>
        <w:rFonts w:hAnsi="FrankRuehl" w:cs="FrankRuehl" w:hint="cs"/>
        <w:color w:val="000000"/>
        <w:sz w:val="28"/>
        <w:szCs w:val="28"/>
        <w:rtl/>
      </w:rPr>
      <w:t>-</w:t>
    </w:r>
    <w:r>
      <w:rPr>
        <w:rFonts w:hAnsi="FrankRuehl" w:cs="FrankRuehl"/>
        <w:color w:val="000000"/>
        <w:sz w:val="28"/>
        <w:szCs w:val="28"/>
        <w:rtl/>
      </w:rPr>
      <w:t>1963</w:t>
    </w:r>
  </w:p>
  <w:p w:rsidR="00001573" w:rsidRDefault="000015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573" w:rsidRDefault="0000157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961"/>
    <w:rsid w:val="00001573"/>
    <w:rsid w:val="0004660A"/>
    <w:rsid w:val="00086EB4"/>
    <w:rsid w:val="001D0684"/>
    <w:rsid w:val="00235F88"/>
    <w:rsid w:val="00271CBB"/>
    <w:rsid w:val="002D3093"/>
    <w:rsid w:val="00343EBC"/>
    <w:rsid w:val="004A4920"/>
    <w:rsid w:val="0054690F"/>
    <w:rsid w:val="005774B8"/>
    <w:rsid w:val="008914F2"/>
    <w:rsid w:val="008B228D"/>
    <w:rsid w:val="00913562"/>
    <w:rsid w:val="009D126E"/>
    <w:rsid w:val="009F3B48"/>
    <w:rsid w:val="00A141B9"/>
    <w:rsid w:val="00A648A2"/>
    <w:rsid w:val="00A845F4"/>
    <w:rsid w:val="00AA332F"/>
    <w:rsid w:val="00AA50E9"/>
    <w:rsid w:val="00B034C6"/>
    <w:rsid w:val="00C31CEE"/>
    <w:rsid w:val="00C86845"/>
    <w:rsid w:val="00D557CF"/>
    <w:rsid w:val="00D810CA"/>
    <w:rsid w:val="00D87961"/>
    <w:rsid w:val="00FC58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2848E26-572B-41C1-B33E-B0411AB0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AA50E9"/>
    <w:rPr>
      <w:sz w:val="20"/>
      <w:szCs w:val="20"/>
    </w:rPr>
  </w:style>
  <w:style w:type="character" w:styleId="a6">
    <w:name w:val="footnote reference"/>
    <w:basedOn w:val="a0"/>
    <w:semiHidden/>
    <w:rsid w:val="00AA50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91.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729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291.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TFASIM/&#1496;&#1508;&#1505;&#1497;&#1501;%20&#1502;&#1513;&#1508;&#1496;&#1497;&#1497;&#1501;/&#1513;&#1497;&#1512;&#1493;&#1514;%20&#1492;&#1502;&#1491;&#1497;&#1504;&#1492;/&#1496;&#1493;&#1508;&#1505;%20&#1506;&#1512;&#1506;&#1493;&#1512;%20&#1488;&#1493;%20&#1489;&#1511;&#1513;&#1492;%20&#1500;&#1506;&#1497;&#1499;&#1493;&#1489;%20&#1489;&#1497;&#1510;&#1493;&#1506;%20&#1508;&#1497;&#1496;&#1493;&#1512;&#1497;&#1501;%20&#1493;&#1492;&#1495;&#1494;&#1512;&#1492;%20&#1500;&#1506;&#1489;&#1493;&#1491;&#1492;.DOC" TargetMode="External"/><Relationship Id="rId4" Type="http://schemas.openxmlformats.org/officeDocument/2006/relationships/footnotes" Target="footnotes.xml"/><Relationship Id="rId9" Type="http://schemas.openxmlformats.org/officeDocument/2006/relationships/hyperlink" Target="http://www.nevo.co.il/Law_word/law06/tak-7291.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291.pdf" TargetMode="External"/><Relationship Id="rId1" Type="http://schemas.openxmlformats.org/officeDocument/2006/relationships/hyperlink" Target="http://www.nevo.co.il/Law_word/law06/TAK-15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5721</CharactersWithSpaces>
  <SharedDoc>false</SharedDoc>
  <HLinks>
    <vt:vector size="138" baseType="variant">
      <vt:variant>
        <vt:i4>393283</vt:i4>
      </vt:variant>
      <vt:variant>
        <vt:i4>105</vt:i4>
      </vt:variant>
      <vt:variant>
        <vt:i4>0</vt:i4>
      </vt:variant>
      <vt:variant>
        <vt:i4>5</vt:i4>
      </vt:variant>
      <vt:variant>
        <vt:lpwstr>http://www.nevo.co.il/advertisements/nevo-100.doc</vt:lpwstr>
      </vt:variant>
      <vt:variant>
        <vt:lpwstr/>
      </vt:variant>
      <vt:variant>
        <vt:i4>97125816</vt:i4>
      </vt:variant>
      <vt:variant>
        <vt:i4>102</vt:i4>
      </vt:variant>
      <vt:variant>
        <vt:i4>0</vt:i4>
      </vt:variant>
      <vt:variant>
        <vt:i4>5</vt:i4>
      </vt:variant>
      <vt:variant>
        <vt:lpwstr>http://www.nevo.co.il/TFASIM/טפסים משפטיים/שירות המדינה/טופס ערעור או בקשה לעיכוב ביצוע פיטורים והחזרה לעבודה.DOC</vt:lpwstr>
      </vt:variant>
      <vt:variant>
        <vt:lpwstr/>
      </vt:variant>
      <vt:variant>
        <vt:i4>7798795</vt:i4>
      </vt:variant>
      <vt:variant>
        <vt:i4>99</vt:i4>
      </vt:variant>
      <vt:variant>
        <vt:i4>0</vt:i4>
      </vt:variant>
      <vt:variant>
        <vt:i4>5</vt:i4>
      </vt:variant>
      <vt:variant>
        <vt:lpwstr>http://www.nevo.co.il/Law_word/law06/tak-7291.pdf</vt:lpwstr>
      </vt:variant>
      <vt:variant>
        <vt:lpwstr/>
      </vt:variant>
      <vt:variant>
        <vt:i4>7798795</vt:i4>
      </vt:variant>
      <vt:variant>
        <vt:i4>96</vt:i4>
      </vt:variant>
      <vt:variant>
        <vt:i4>0</vt:i4>
      </vt:variant>
      <vt:variant>
        <vt:i4>5</vt:i4>
      </vt:variant>
      <vt:variant>
        <vt:lpwstr>http://www.nevo.co.il/Law_word/law06/tak-7291.pdf</vt:lpwstr>
      </vt:variant>
      <vt:variant>
        <vt:lpwstr/>
      </vt:variant>
      <vt:variant>
        <vt:i4>7798795</vt:i4>
      </vt:variant>
      <vt:variant>
        <vt:i4>93</vt:i4>
      </vt:variant>
      <vt:variant>
        <vt:i4>0</vt:i4>
      </vt:variant>
      <vt:variant>
        <vt:i4>5</vt:i4>
      </vt:variant>
      <vt:variant>
        <vt:lpwstr>http://www.nevo.co.il/Law_word/law06/tak-7291.pdf</vt:lpwstr>
      </vt:variant>
      <vt:variant>
        <vt:lpwstr/>
      </vt:variant>
      <vt:variant>
        <vt:i4>7798795</vt:i4>
      </vt:variant>
      <vt:variant>
        <vt:i4>90</vt:i4>
      </vt:variant>
      <vt:variant>
        <vt:i4>0</vt:i4>
      </vt:variant>
      <vt:variant>
        <vt:i4>5</vt:i4>
      </vt:variant>
      <vt:variant>
        <vt:lpwstr>http://www.nevo.co.il/Law_word/law06/tak-7291.pdf</vt:lpwstr>
      </vt:variant>
      <vt:variant>
        <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7798795</vt:i4>
      </vt:variant>
      <vt:variant>
        <vt:i4>3</vt:i4>
      </vt:variant>
      <vt:variant>
        <vt:i4>0</vt:i4>
      </vt:variant>
      <vt:variant>
        <vt:i4>5</vt:i4>
      </vt:variant>
      <vt:variant>
        <vt:lpwstr>http://www.nevo.co.il/Law_word/law06/TAK-7291.pdf</vt:lpwstr>
      </vt:variant>
      <vt:variant>
        <vt:lpwstr/>
      </vt:variant>
      <vt:variant>
        <vt:i4>7929867</vt:i4>
      </vt:variant>
      <vt:variant>
        <vt:i4>0</vt:i4>
      </vt:variant>
      <vt:variant>
        <vt:i4>0</vt:i4>
      </vt:variant>
      <vt:variant>
        <vt:i4>5</vt:i4>
      </vt:variant>
      <vt:variant>
        <vt:lpwstr>http://www.nevo.co.il/Law_word/law06/TAK-1516.pdf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P221K2</vt:lpwstr>
  </property>
  <property fmtid="{D5CDD505-2E9C-101B-9397-08002B2CF9AE}" pid="3" name="CHNAME">
    <vt:lpwstr>שירות המדינה</vt:lpwstr>
  </property>
  <property fmtid="{D5CDD505-2E9C-101B-9397-08002B2CF9AE}" pid="4" name="LAWNAME">
    <vt:lpwstr>תקנות שירות המדינה (משמעת) (סדרי הדין בערעור או בבקשה לשופט בית המשפט המחוזי), תשכ"ד-1963;בית המשפט העליון</vt:lpwstr>
  </property>
  <property fmtid="{D5CDD505-2E9C-101B-9397-08002B2CF9AE}" pid="5" name="LAWNUMBER">
    <vt:lpwstr>0009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משמעת</vt:lpwstr>
  </property>
  <property fmtid="{D5CDD505-2E9C-101B-9397-08002B2CF9AE}" pid="10" name="NOSE41">
    <vt:lpwstr>סדרי דין</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ערעור על החלטות</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בתי משפט ובתי דין</vt:lpwstr>
  </property>
  <property fmtid="{D5CDD505-2E9C-101B-9397-08002B2CF9AE}" pid="17" name="NOSE33">
    <vt:lpwstr>בג"צ וביהמ"ש העליון</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http://www.nevo.co.il/Law_word/law06/TAK-7291.pdf;‎רשומות - תקנות כלליות#תוקנו ק"ת תשע"ד מס' ‏‏7291 #מיום 17.9.2013 עמ' 34 – תק' תשע"ד-2013; תחילתן ביום 1.10.2013‏</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