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E63" w:rsidRDefault="00456E63" w:rsidP="006E0AA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הציבור (הגבלות לאחר פרישה) (סדרי דין בועדה), תשל"א</w:t>
      </w:r>
      <w:r w:rsidR="006E0AA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B21FE4" w:rsidRPr="00B21FE4" w:rsidRDefault="00B21FE4" w:rsidP="00B21FE4">
      <w:pPr>
        <w:spacing w:line="320" w:lineRule="auto"/>
        <w:jc w:val="left"/>
        <w:rPr>
          <w:rFonts w:cs="FrankRuehl"/>
          <w:szCs w:val="26"/>
          <w:rtl/>
        </w:rPr>
      </w:pPr>
    </w:p>
    <w:p w:rsidR="00B21FE4" w:rsidRDefault="00B21FE4" w:rsidP="00B21FE4">
      <w:pPr>
        <w:spacing w:line="320" w:lineRule="auto"/>
        <w:jc w:val="left"/>
        <w:rPr>
          <w:rtl/>
        </w:rPr>
      </w:pPr>
    </w:p>
    <w:p w:rsidR="00B21FE4" w:rsidRPr="00B21FE4" w:rsidRDefault="00B21FE4" w:rsidP="00B21FE4">
      <w:pPr>
        <w:spacing w:line="320" w:lineRule="auto"/>
        <w:jc w:val="left"/>
        <w:rPr>
          <w:rFonts w:cs="Miriam"/>
          <w:szCs w:val="22"/>
          <w:rtl/>
        </w:rPr>
      </w:pPr>
      <w:r w:rsidRPr="00B21FE4">
        <w:rPr>
          <w:rFonts w:cs="Miriam"/>
          <w:szCs w:val="22"/>
          <w:rtl/>
        </w:rPr>
        <w:t>רשויות ומשפט מנהלי</w:t>
      </w:r>
      <w:r w:rsidRPr="00B21FE4">
        <w:rPr>
          <w:rFonts w:cs="FrankRuehl"/>
          <w:szCs w:val="26"/>
          <w:rtl/>
        </w:rPr>
        <w:t xml:space="preserve"> – שירות הציבור – הגבלות לאחר פרישה</w:t>
      </w:r>
    </w:p>
    <w:p w:rsidR="00456E63" w:rsidRDefault="00456E6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ראשון: הוראות כלליות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: הוראות כללי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להיתר או לאישור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בקשה להיתר או לאישור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אימות טענות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מות טענ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המצאה לשירות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מצאה לשיר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תשובת נציג השירות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שובת נציג השיר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דרכי המצאה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דרכי המצאה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שמיעת הבקשה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שמיעת הבקשה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מועד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קביעת מועד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חקירה שכנגד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ודעה על חקירה שכנגד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הגבלת השימוש בהצהרות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גבלת השימוש בהצהר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שאלונים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גשת שאלונים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 הגשת תשובות הכחשה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י הגשת תשובות הכחשה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לדיון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ינוי לדיון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טענות שלא הוזכרו בבקשה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טענות שלא הוזכרו בבקשה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סטיה מהוראות התקנות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סטיה מהוראות התקנ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החלטת הועדה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חלטת הועדה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ייצוג היועץ המשפטי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ייצוג היועץ המשפטי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נוספות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מכויות נוספ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שני: בקשות מיוחדות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פרק שני: בקשות מיוחד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למתן אישור לפי ס' 4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בקשה למתן אישור לפי ס 4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למתן היתר לרכישת זכות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בקשה למתן היתר לרכישת זכ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למתן היתר לפעילות עסקית בחוץ לארץ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בקשה למתן היתר לפעילות עסקית בחוץ לארץ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שלישי: שונות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1" w:tooltip="פרק שלישי: שונות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בקשות של קרובים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בקשות של קרובים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תחילה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07F6C" w:rsidRPr="00607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השם" w:history="1">
              <w:r w:rsidRPr="00607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07F6C" w:rsidRPr="00607F6C" w:rsidRDefault="00607F6C" w:rsidP="00607F6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56E63" w:rsidRDefault="00456E63">
      <w:pPr>
        <w:pStyle w:val="big-header"/>
        <w:ind w:left="0" w:right="1134"/>
        <w:rPr>
          <w:rFonts w:cs="FrankRuehl"/>
          <w:sz w:val="32"/>
          <w:rtl/>
        </w:rPr>
      </w:pPr>
    </w:p>
    <w:p w:rsidR="00456E63" w:rsidRDefault="00456E63" w:rsidP="00B21FE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הציבור (הגבלות לאחר פרישה) (סדרי דין בועדה), תשל"א</w:t>
      </w:r>
      <w:r w:rsidR="006E0AA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6E0AA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56E63" w:rsidRDefault="00456E63" w:rsidP="006E0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15 לחוק שירות הציבור (הגבלות לאחר פרישה</w:t>
      </w:r>
      <w:r w:rsidR="006E0AA7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, תשכ"ט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אני מתקין תקנות אלה:</w:t>
      </w:r>
    </w:p>
    <w:p w:rsidR="00456E63" w:rsidRDefault="00456E63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ראשון: הוראות כלליות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22.2pt;z-index:251645952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להיתר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בקש היתר או אישור לפי החוק, יגיש 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עדה בקשה בכתב בארבעה עתקים; הבקשה תפרט </w:t>
      </w:r>
      <w:r w:rsidR="006E0AA7">
        <w:rPr>
          <w:rStyle w:val="default"/>
          <w:rFonts w:cs="FrankRuehl"/>
          <w:rtl/>
        </w:rPr>
        <w:t>–</w:t>
      </w:r>
    </w:p>
    <w:p w:rsidR="00456E63" w:rsidRDefault="00456E63" w:rsidP="006E0AA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ת שם משפחתו ואת שמו הפרטי של המבקש ואת מענו, ואם היה מען זה בחוץ לארץ 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מען בישראל לצרכי מסירת מסמכים;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שירות הציבור שממנו פרש או עומד לפרוש ושאגב פרישתו ממנו מבוקש ההיתר או האישור;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המועד של הפרי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 xml:space="preserve"> מהשירות;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תפקידו של המבקש בשירות הציבור;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נוספים כפי שנקבע בתקנות אלה לגבי הסוגים השונים של בקשות.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0.8pt;z-index:251646976" o:allowincell="f" filled="f" stroked="f" strokecolor="lime" strokeweight=".25pt">
            <v:textbox inset="0,0,0,0">
              <w:txbxContent>
                <w:p w:rsidR="00456E63" w:rsidRDefault="00456E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מות 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בקש יאמת את הטענות שבעובדה שבבקשתו, בתצהיר בכתב,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בועה או בהן צדק, שיצורף לבקשתו, וכן יצרף לבקשתו העתק מכל מסמך שברצונו להסתייע ב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בהליכים בפני הועדה, הכל בארבעה עתקים.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6pt;z-index:251648000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צאה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תק אחד של הבקשה על נספחיה ימציא יושב ראש הועדה לשירות כאמור בתקנה 1(2);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 xml:space="preserve">ה אותו שירות </w:t>
      </w:r>
      <w:r w:rsidR="006E0AA7">
        <w:rPr>
          <w:rStyle w:val="default"/>
          <w:rFonts w:cs="FrankRuehl"/>
          <w:rtl/>
        </w:rPr>
        <w:t>–</w:t>
      </w:r>
    </w:p>
    <w:p w:rsidR="00456E63" w:rsidRDefault="00456E63" w:rsidP="006E0AA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ירות המדינה שחל עליו חוק שירות המדינה (מינויים), תשי"ט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 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יהא הנמען נציב שירות המדינה;</w:t>
      </w:r>
    </w:p>
    <w:p w:rsidR="00456E63" w:rsidRDefault="00456E63" w:rsidP="006E0AA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בא-הגנה לישראל 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הנמען קצין בצה"ל שיודיע עליו הרמטכ"ל מזמן לזמן ליושב ראש הועדה;</w:t>
      </w:r>
    </w:p>
    <w:p w:rsidR="00456E63" w:rsidRDefault="00456E63" w:rsidP="006E0AA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שטרת ישראל 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יהא הנמען המפקח הכללי למשטרת ישראל;</w:t>
      </w:r>
    </w:p>
    <w:p w:rsidR="00456E63" w:rsidRDefault="00456E63" w:rsidP="006E0AA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ערכת לימוד חובה שהמשכורת של עובדיה 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תלמת מתקציב משרד החינוך והתרבות 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יהא הנמען המנהל הכללי למשרד החינוך והתרבות.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16pt;z-index:251649024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ובת נציג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יג השירות שהומצא לו עותק הבקשה רשאי להגיש תשובה עליה בכתב תוך ארבעה עשר יום מיום שנמסר לו העותק; התשובה תוגש בארבעה עתקים ויצורף לה תצהיר בכתב, בשבועה או בהן צד</w:t>
      </w:r>
      <w:r>
        <w:rPr>
          <w:rStyle w:val="default"/>
          <w:rFonts w:cs="FrankRuehl"/>
          <w:rtl/>
        </w:rPr>
        <w:t xml:space="preserve">ק, </w:t>
      </w:r>
      <w:r>
        <w:rPr>
          <w:rStyle w:val="default"/>
          <w:rFonts w:cs="FrankRuehl" w:hint="cs"/>
          <w:rtl/>
        </w:rPr>
        <w:t>לאימות העובדות שבתשובה וכן יצורף לה העתק כל מסמך שברצונו של נציג השירות להסתייע בו בשעת הדיון בבקשה.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11.95pt;z-index:251650048" o:allowincell="f" filled="f" stroked="f" strokecolor="lime" strokeweight=".25pt">
            <v:textbox inset="0,0,0,0">
              <w:txbxContent>
                <w:p w:rsidR="00456E63" w:rsidRDefault="00456E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צאת כל מסמך לענין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ליכי הדיון בועדה תהא אישית או בדואר רשום עם אישור מסירה.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24pt;z-index:251651072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על פי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ראיות</w:t>
                  </w:r>
                  <w:r w:rsidR="006E0AA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רשאית לדון בבקשה ולהחליט בה על יסוד החומר בכתב שהובא בפניה </w:t>
      </w:r>
      <w:r w:rsidR="00D810D8">
        <w:rPr>
          <w:rStyle w:val="default"/>
          <w:rFonts w:cs="FrankRuehl" w:hint="cs"/>
          <w:rtl/>
        </w:rPr>
        <w:t xml:space="preserve">ובהעדרם של המבקש ונציג השירות אם אף אחד מהם לא ביקש להתייצב בפניה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 xml:space="preserve"> להשמיע טענותיו או לחקור את מי שהגיש לועדה תצהיר כאמור בתקנות 2 או 4.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6pt;z-index:251652096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קש המבקש או נציג השירות להתייצב בפני הועדה כאמור בתקנה 6 או החליט יושב ראש הועדה להזמינם, יחולו הוראות תקנות 8 עד 18.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.6pt;z-index:251653120" o:allowincell="f" filled="f" stroked="f" strokecolor="lime" strokeweight=".25pt">
            <v:textbox inset="0,0,0,0">
              <w:txbxContent>
                <w:p w:rsidR="00456E63" w:rsidRDefault="00456E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יקבע מועד לשמיעת הבקשה וימציא הזמנה הן למ</w:t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 והן לנציג השירות, ארבעה עשר יום לפחות לפני המועד לשמיעת הבקשה.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24pt;z-index:251654144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על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נגד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רצ</w:t>
      </w:r>
      <w:r>
        <w:rPr>
          <w:rStyle w:val="default"/>
          <w:rFonts w:cs="FrankRuehl" w:hint="cs"/>
          <w:rtl/>
        </w:rPr>
        <w:t xml:space="preserve">ה המבקש או נציג השירות לחקור חקירה שכנגד אדם שמסר תצהיר כאמור בתקנות 2 עד 4, יודיע על כך למי שהגיש את התצהיר ארבעה ימים לפחות לפני מועד השמיעה וימסור העתק </w:t>
      </w:r>
      <w:r>
        <w:rPr>
          <w:rStyle w:val="default"/>
          <w:rFonts w:cs="FrankRuehl" w:hint="cs"/>
          <w:rtl/>
        </w:rPr>
        <w:lastRenderedPageBreak/>
        <w:t>ההודעה ליושב ראש הועדה.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4pt;z-index:251655168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ימוש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 xml:space="preserve">סרה הודעה כאמור בתקנה </w:t>
      </w:r>
      <w:r>
        <w:rPr>
          <w:rStyle w:val="default"/>
          <w:rFonts w:cs="FrankRuehl"/>
          <w:rtl/>
        </w:rPr>
        <w:t xml:space="preserve">9, </w:t>
      </w:r>
      <w:r>
        <w:rPr>
          <w:rStyle w:val="default"/>
          <w:rFonts w:cs="FrankRuehl" w:hint="cs"/>
          <w:rtl/>
        </w:rPr>
        <w:t>לא ישמש התצהיר שעליו ניתנה ההודעה ראיה, בכפוף לאמור בתקנה 11, אלא אם היה המצהיר נוכח בשמיעת הבקשה כשהוא מוכן לחקירה שכנגד.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4.85pt;z-index:251656192" o:allowincell="f" filled="f" stroked="f" strokecolor="lime" strokeweight=".25pt">
            <v:textbox inset="0,0,0,0">
              <w:txbxContent>
                <w:p w:rsidR="00456E63" w:rsidRDefault="00456E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שאלונים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>צא האדם שמסר תצהיר כאמור בתקנות 2 או 4 בחוץ-לארץ, רשאית הועדה להרשות לו, במקום להתייצב בפניה לשם ח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רה שכנגד, לענות בכתב על שאלון שיוגש, באישור הועדה, מאת מי שביקש לחקור את המצהיר, הכל בתנאים שתקבע הועדה.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-הגשת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ובות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הגיש נציג השירות תשובה בכתב לבקשה כאמור בתקנה 4, רואים אותו כאילו הכחיש כל טענה שבעובדה שבבקשה.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4.4pt;z-index:251658240" o:allowincell="f" filled="f" stroked="f" strokecolor="lime" strokeweight=".25pt">
            <v:textbox inset="0,0,0,0">
              <w:txbxContent>
                <w:p w:rsidR="00456E63" w:rsidRDefault="00456E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לדיון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יזמין לדיון בכל בקשה את נ</w:t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ג הציבור ואת העובד בשירות הציבור כסדר הופעתם ברשימות שפורסמו ברשומות.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24pt;z-index:251659264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שלא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זכרו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מיעת הבקשה לא תיזקק הועדה לכל טענה שבעובדה שלא הוזכרה בבקשה אלא אם ראתה ששמיעת הטענה דרושה למען הצדק.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21.35pt;z-index:251660288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 מהוראות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לנהוג אף בסטיה מכל הוראה שבתקנו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אלה אם באה על כך הסכמת המבקש ונציג השירות ואם לדעת הועדה אין בסטיה כדי להכשיל את מטרת החוק.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הועדה תהא בכתב ומנומקת, ותיחתם ביד יושב ראש הועדה; היושב ראש ימציא העתק ממנה מאושר בידו למבקש ולנציג השירות.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צוג היועץ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שפטי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ועץ המשפטי לממשלה או נציגו רשאים, ב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עת, להופיע בדיוני הועדה ולהשמיע את טענותיהם.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7"/>
      <w:bookmarkEnd w:id="17"/>
      <w:r>
        <w:rPr>
          <w:lang w:val="he-IL"/>
        </w:rPr>
        <w:pict>
          <v:rect id="_x0000_s1043" style="position:absolute;left:0;text-align:left;margin-left:464.5pt;margin-top:8.05pt;width:75.05pt;height:16pt;z-index:251663360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תקבע בעצמה את סדרי הדין והנוהל בפניה במידה שלא נקבעו בתקנות אלה; אין בת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 כדי לגרוע מסמכותה לגבות כל ראיה ולדרוש המצאת כל דבר נוסף שתמצא לנכון בנסיבות הענין.</w:t>
      </w:r>
    </w:p>
    <w:p w:rsidR="00456E63" w:rsidRDefault="00456E63">
      <w:pPr>
        <w:pStyle w:val="header-2"/>
        <w:ind w:left="0" w:right="1134"/>
        <w:rPr>
          <w:rFonts w:cs="Miriam"/>
          <w:rtl/>
        </w:rPr>
      </w:pPr>
      <w:bookmarkStart w:id="18" w:name="hed20"/>
      <w:bookmarkEnd w:id="18"/>
      <w:r>
        <w:rPr>
          <w:rFonts w:cs="Miriam"/>
          <w:rtl/>
        </w:rPr>
        <w:t>פר</w:t>
      </w:r>
      <w:r>
        <w:rPr>
          <w:rFonts w:cs="Miriam" w:hint="cs"/>
          <w:rtl/>
        </w:rPr>
        <w:t>ק שני: בקשות מיוחדות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8"/>
      <w:bookmarkEnd w:id="19"/>
      <w:r>
        <w:rPr>
          <w:lang w:val="he-IL"/>
        </w:rPr>
        <w:pict>
          <v:rect id="_x0000_s1044" style="position:absolute;left:0;text-align:left;margin-left:464.5pt;margin-top:8.05pt;width:75.05pt;height:24pt;z-index:251664384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תן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לפי</w:t>
                  </w:r>
                  <w:r w:rsidR="006E0AA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ס' 4(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ג)(2)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קשה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מתן אישור לפי סעיף 4 (ג)(2) לחוק יפורטו, בנוסף לאמור בתקנה 1(1) עד (4), פרטים אלה: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דם שממנו עומד המבקש לקבל זכות ומענו;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הזכות שהוענקה לאותו אדם על ידי המבקש או על פי המלצתו, הכל במילוי תפקידו בשירות הציבור;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מועד שבו גמר המבקש א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הטיפול בהענקת הזכות או במתן ההמלצה למתן הזכות;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מועד שבו עומד המבקש לקבל מאותו אדם זכות ומהותה של אותה זכות.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9"/>
      <w:bookmarkEnd w:id="20"/>
      <w:r>
        <w:rPr>
          <w:lang w:val="he-IL"/>
        </w:rPr>
        <w:pict>
          <v:rect id="_x0000_s1045" style="position:absolute;left:0;text-align:left;margin-left:464.5pt;margin-top:8.05pt;width:75.05pt;height:24pt;z-index:251665408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למתן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לרכישת</w:t>
                  </w:r>
                  <w:r w:rsidR="006E0AA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קשה למתן היתר לפי סעיף 4 (ג) (3) לחוק יפורטו, בנוסף לאמור בתקנה 1 (1) עד (4), פרטים אלה: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האדם שממנו עומד המבקש לקבל זכות ומ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ו;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הות הזכות שהוענקה לאותו אדם על ידי המבקש או על פי המלצתו,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כל במילוי תפקידו בשירות הציבור;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מועד שבו הוענקה הזכות לאותו אדם כאמור בפסקה (2);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הזכות שברצונו של המבקש לקבל מאותו אדם (משרה כשכיר, שיתוף בעסק, התקשרות בעסק כסוכן, כספק יחיד</w:t>
      </w:r>
      <w:r>
        <w:rPr>
          <w:rStyle w:val="default"/>
          <w:rFonts w:cs="FrankRuehl"/>
          <w:rtl/>
        </w:rPr>
        <w:t>, כ</w:t>
      </w:r>
      <w:r>
        <w:rPr>
          <w:rStyle w:val="default"/>
          <w:rFonts w:cs="FrankRuehl" w:hint="cs"/>
          <w:rtl/>
        </w:rPr>
        <w:t>בעל של זכות מונופולין למתן שירותים, או כיוצא באלה);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עובדה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יש לה חשיבות, בנסיבות הענין, להכרעת הועדה לפי סעיף 14 (ב) לחוק.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20"/>
      <w:bookmarkEnd w:id="21"/>
      <w:r>
        <w:rPr>
          <w:lang w:val="he-IL"/>
        </w:rPr>
        <w:pict>
          <v:rect id="_x0000_s1046" style="position:absolute;left:0;text-align:left;margin-left:464.5pt;margin-top:8.05pt;width:75.05pt;height:29.8pt;z-index:251666432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למתן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לפעילות</w:t>
                  </w:r>
                  <w:r w:rsidR="006E0AA7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קית בחוץ-לארץ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קשה למתן היתר לפי סעיף 6 לחוק יפורטו, בנוסף לאמור בתקנה 1(1) עד (4), פרטים אלה: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המשרה או התפקיד כאמור בסעיף</w:t>
      </w:r>
      <w:r>
        <w:rPr>
          <w:rStyle w:val="default"/>
          <w:rFonts w:cs="FrankRuehl"/>
          <w:rtl/>
        </w:rPr>
        <w:t xml:space="preserve"> 6(1) ל</w:t>
      </w:r>
      <w:r>
        <w:rPr>
          <w:rStyle w:val="default"/>
          <w:rFonts w:cs="FrankRuehl" w:hint="cs"/>
          <w:rtl/>
        </w:rPr>
        <w:t>חוק; שם המעביד או מע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יק התפקיד, מענו ומקום מילוי התפקיד;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הות העסק שברצונו של המבקש לרכוש זכות בו, מקום הימצאו של העסק ומהות הזכות;</w:t>
      </w:r>
    </w:p>
    <w:p w:rsidR="00456E63" w:rsidRDefault="00456E6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הארצות שבהן שירת המבקש בשנתיים האחרונות לפני פרישתו.</w:t>
      </w:r>
    </w:p>
    <w:p w:rsidR="00456E63" w:rsidRDefault="00456E63">
      <w:pPr>
        <w:pStyle w:val="header-2"/>
        <w:ind w:left="0" w:right="1134"/>
        <w:rPr>
          <w:rFonts w:cs="Miriam"/>
          <w:rtl/>
        </w:rPr>
      </w:pPr>
      <w:bookmarkStart w:id="22" w:name="hed21"/>
      <w:bookmarkEnd w:id="22"/>
      <w:r>
        <w:rPr>
          <w:rFonts w:cs="Miriam"/>
          <w:rtl/>
        </w:rPr>
        <w:t>פר</w:t>
      </w:r>
      <w:r>
        <w:rPr>
          <w:rFonts w:cs="Miriam" w:hint="cs"/>
          <w:rtl/>
        </w:rPr>
        <w:t>ק שלישי: שונות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1"/>
      <w:bookmarkEnd w:id="23"/>
      <w:r>
        <w:rPr>
          <w:lang w:val="he-IL"/>
        </w:rPr>
        <w:pict>
          <v:rect id="_x0000_s1047" style="position:absolute;left:0;text-align:left;margin-left:464.5pt;margin-top:8.05pt;width:75.05pt;height:16pt;z-index:251667456" o:allowincell="f" filled="f" stroked="f" strokecolor="lime" strokeweight=".25pt">
            <v:textbox inset="0,0,0,0">
              <w:txbxContent>
                <w:p w:rsidR="00456E63" w:rsidRDefault="00456E63" w:rsidP="006E0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שות של</w:t>
                  </w:r>
                  <w:r w:rsidR="006E0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תקנו</w:t>
      </w:r>
      <w:r>
        <w:rPr>
          <w:rStyle w:val="default"/>
          <w:rFonts w:cs="FrankRuehl" w:hint="cs"/>
          <w:rtl/>
        </w:rPr>
        <w:t>ת אלה יחולו על בקשות שיגיש קרובו של מי שפרש מהשירות או עומד לפרוש ממנו, בשינויים המחוייבים.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2"/>
      <w:bookmarkEnd w:id="24"/>
      <w:r>
        <w:rPr>
          <w:lang w:val="he-IL"/>
        </w:rPr>
        <w:pict>
          <v:rect id="_x0000_s1048" style="position:absolute;left:0;text-align:left;margin-left:464.5pt;margin-top:8.05pt;width:75.05pt;height:11.55pt;z-index:251668480" o:allowincell="f" filled="f" stroked="f" strokecolor="lime" strokeweight=".25pt">
            <v:textbox inset="0,0,0,0">
              <w:txbxContent>
                <w:p w:rsidR="00456E63" w:rsidRDefault="00456E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כתום חמישה עשר יום מיום פרסומן.</w:t>
      </w:r>
    </w:p>
    <w:p w:rsidR="00456E63" w:rsidRDefault="00456E63" w:rsidP="006E0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3"/>
      <w:bookmarkEnd w:id="25"/>
      <w:r>
        <w:rPr>
          <w:lang w:val="he-IL"/>
        </w:rPr>
        <w:pict>
          <v:rect id="_x0000_s1049" style="position:absolute;left:0;text-align:left;margin-left:464.5pt;margin-top:8.05pt;width:75.05pt;height:14.05pt;z-index:251669504" o:allowincell="f" filled="f" stroked="f" strokecolor="lime" strokeweight=".25pt">
            <v:textbox inset="0,0,0,0">
              <w:txbxContent>
                <w:p w:rsidR="00456E63" w:rsidRDefault="00456E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הציבור (הגבלות לאחר הפרישה) (סדרי דין בועדה), תשל"א</w:t>
      </w:r>
      <w:r w:rsidR="006E0A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:rsidR="00456E63" w:rsidRDefault="00456E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0AA7" w:rsidRDefault="006E0A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56E63" w:rsidRDefault="00456E6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באב</w:t>
      </w:r>
      <w:r>
        <w:rPr>
          <w:rFonts w:cs="FrankRuehl"/>
          <w:sz w:val="26"/>
          <w:rtl/>
        </w:rPr>
        <w:t xml:space="preserve"> ת</w:t>
      </w:r>
      <w:r>
        <w:rPr>
          <w:rFonts w:cs="FrankRuehl" w:hint="cs"/>
          <w:sz w:val="26"/>
          <w:rtl/>
        </w:rPr>
        <w:t>של"א (28 ביולי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:rsidR="00456E63" w:rsidRDefault="00456E6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456E63" w:rsidRPr="006E0AA7" w:rsidRDefault="00456E63" w:rsidP="006E0A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56E63" w:rsidRPr="006E0AA7" w:rsidRDefault="00456E63" w:rsidP="006E0A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56E63" w:rsidRPr="006E0AA7" w:rsidRDefault="00456E63" w:rsidP="006E0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LawPartEnd"/>
    </w:p>
    <w:bookmarkEnd w:id="26"/>
    <w:p w:rsidR="00607F6C" w:rsidRDefault="00607F6C" w:rsidP="006E0A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7F6C" w:rsidRDefault="00607F6C" w:rsidP="006E0A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07F6C" w:rsidRDefault="00607F6C" w:rsidP="00607F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56E63" w:rsidRPr="00607F6C" w:rsidRDefault="00456E63" w:rsidP="00607F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56E63" w:rsidRPr="00607F6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1D9D" w:rsidRDefault="00801D9D">
      <w:r>
        <w:separator/>
      </w:r>
    </w:p>
  </w:endnote>
  <w:endnote w:type="continuationSeparator" w:id="0">
    <w:p w:rsidR="00801D9D" w:rsidRDefault="0080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E63" w:rsidRDefault="00456E6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56E63" w:rsidRDefault="00456E6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6E63" w:rsidRDefault="00456E6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7F6C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Z:\00000000000000000000000=2014------------------------\05-May\2014-05-28\LawsForHofit\01\P221K3_002.doc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E63" w:rsidRDefault="00456E6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7F6C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456E63" w:rsidRDefault="00456E6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56E63" w:rsidRDefault="00456E6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07F6C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Z:\00000000000000000000000=2014------------------------\05-May\2014-05-28\LawsForHofit\01\P221K3_002.doc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1D9D" w:rsidRDefault="00801D9D" w:rsidP="006E0AA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01D9D" w:rsidRDefault="00801D9D">
      <w:r>
        <w:continuationSeparator/>
      </w:r>
    </w:p>
  </w:footnote>
  <w:footnote w:id="1">
    <w:p w:rsidR="006E0AA7" w:rsidRPr="006E0AA7" w:rsidRDefault="006E0AA7" w:rsidP="006E0A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E0AA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F0949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תשל"א </w:t>
        </w:r>
        <w:r w:rsidRPr="00EF0949">
          <w:rPr>
            <w:rStyle w:val="Hyperlink"/>
            <w:rFonts w:cs="FrankRuehl" w:hint="cs"/>
            <w:rtl/>
          </w:rPr>
          <w:t>מס' 2728</w:t>
        </w:r>
      </w:hyperlink>
      <w:r>
        <w:rPr>
          <w:rFonts w:cs="FrankRuehl" w:hint="cs"/>
          <w:rtl/>
        </w:rPr>
        <w:t xml:space="preserve"> מיום 12.8.1971 עמ' 1454.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E63" w:rsidRDefault="00456E6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פרישה), (סדרי דין בועדה), תשל"א–1971</w:t>
    </w:r>
  </w:p>
  <w:p w:rsidR="00456E63" w:rsidRDefault="00456E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6E63" w:rsidRDefault="00456E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E63" w:rsidRDefault="00456E63" w:rsidP="006E0A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(סדרי דין בועדה), תשל"א</w:t>
    </w:r>
    <w:r w:rsidR="006E0AA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456E63" w:rsidRDefault="00456E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56E63" w:rsidRDefault="00456E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949"/>
    <w:rsid w:val="00456E63"/>
    <w:rsid w:val="00464CB9"/>
    <w:rsid w:val="00472070"/>
    <w:rsid w:val="00607F6C"/>
    <w:rsid w:val="006E0AA7"/>
    <w:rsid w:val="00801D9D"/>
    <w:rsid w:val="00807196"/>
    <w:rsid w:val="00B21FE4"/>
    <w:rsid w:val="00D810D8"/>
    <w:rsid w:val="00EF0949"/>
    <w:rsid w:val="00FD654C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D765BC-5FCC-43D3-89A2-AEE7834E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6E0AA7"/>
    <w:rPr>
      <w:sz w:val="20"/>
      <w:szCs w:val="20"/>
    </w:rPr>
  </w:style>
  <w:style w:type="character" w:styleId="a6">
    <w:name w:val="footnote reference"/>
    <w:semiHidden/>
    <w:rsid w:val="006E0A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7922</CharactersWithSpaces>
  <SharedDoc>false</SharedDoc>
  <HLinks>
    <vt:vector size="168" baseType="variant">
      <vt:variant>
        <vt:i4>393283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3145768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5701644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3342376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5701644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3407915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7929863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P221K3</vt:lpwstr>
  </property>
  <property fmtid="{D5CDD505-2E9C-101B-9397-08002B2CF9AE}" pid="3" name="CHNAME">
    <vt:lpwstr>שירות הציבור</vt:lpwstr>
  </property>
  <property fmtid="{D5CDD505-2E9C-101B-9397-08002B2CF9AE}" pid="4" name="LAWNAME">
    <vt:lpwstr>תקנות שירות הציבור (הגבלות לאחר פרישה) (סדרי דין בועדה), תשל"א-1971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