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46D" w:rsidRDefault="00F9746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הציבור (הגבלות לאחר פרישה) (תחולה על חיילים ושוטרים), תשל"ו–1976</w:t>
      </w:r>
    </w:p>
    <w:p w:rsidR="00921CFC" w:rsidRPr="00921CFC" w:rsidRDefault="00921CFC" w:rsidP="00921CFC">
      <w:pPr>
        <w:spacing w:line="320" w:lineRule="auto"/>
        <w:jc w:val="left"/>
        <w:rPr>
          <w:rFonts w:cs="FrankRuehl"/>
          <w:szCs w:val="26"/>
          <w:rtl/>
        </w:rPr>
      </w:pPr>
    </w:p>
    <w:p w:rsidR="00921CFC" w:rsidRDefault="00921CFC" w:rsidP="00921CFC">
      <w:pPr>
        <w:spacing w:line="320" w:lineRule="auto"/>
        <w:jc w:val="left"/>
        <w:rPr>
          <w:rFonts w:cs="Miriam"/>
          <w:szCs w:val="22"/>
          <w:rtl/>
        </w:rPr>
      </w:pPr>
      <w:r w:rsidRPr="00921CFC">
        <w:rPr>
          <w:rFonts w:cs="Miriam"/>
          <w:szCs w:val="22"/>
          <w:rtl/>
        </w:rPr>
        <w:t>רשויות ומשפט מנהלי</w:t>
      </w:r>
      <w:r w:rsidRPr="00921CFC">
        <w:rPr>
          <w:rFonts w:cs="FrankRuehl"/>
          <w:szCs w:val="26"/>
          <w:rtl/>
        </w:rPr>
        <w:t xml:space="preserve"> – שירות הציבור – הגבלות לאחר פרישה</w:t>
      </w:r>
    </w:p>
    <w:p w:rsidR="00921CFC" w:rsidRDefault="00921CFC" w:rsidP="00921CFC">
      <w:pPr>
        <w:spacing w:line="320" w:lineRule="auto"/>
        <w:jc w:val="left"/>
        <w:rPr>
          <w:rFonts w:cs="Miriam"/>
          <w:szCs w:val="22"/>
          <w:rtl/>
        </w:rPr>
      </w:pPr>
      <w:r w:rsidRPr="00921CFC">
        <w:rPr>
          <w:rFonts w:cs="Miriam"/>
          <w:szCs w:val="22"/>
          <w:rtl/>
        </w:rPr>
        <w:t>בטחון</w:t>
      </w:r>
      <w:r w:rsidRPr="00921CFC">
        <w:rPr>
          <w:rFonts w:cs="FrankRuehl"/>
          <w:szCs w:val="26"/>
          <w:rtl/>
        </w:rPr>
        <w:t xml:space="preserve"> – צה"ל – חיילים</w:t>
      </w:r>
    </w:p>
    <w:p w:rsidR="00921CFC" w:rsidRPr="00921CFC" w:rsidRDefault="00921CFC" w:rsidP="00921CFC">
      <w:pPr>
        <w:spacing w:line="320" w:lineRule="auto"/>
        <w:jc w:val="left"/>
        <w:rPr>
          <w:rFonts w:cs="Miriam" w:hint="cs"/>
          <w:szCs w:val="22"/>
          <w:rtl/>
        </w:rPr>
      </w:pPr>
      <w:r w:rsidRPr="00921CFC">
        <w:rPr>
          <w:rFonts w:cs="Miriam"/>
          <w:szCs w:val="22"/>
          <w:rtl/>
        </w:rPr>
        <w:t>בטחון</w:t>
      </w:r>
      <w:r w:rsidRPr="00921CFC">
        <w:rPr>
          <w:rFonts w:cs="FrankRuehl"/>
          <w:szCs w:val="26"/>
          <w:rtl/>
        </w:rPr>
        <w:t xml:space="preserve"> – משטרה</w:t>
      </w:r>
    </w:p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9746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hyperlink w:anchor="Seif0" w:tooltip="תחולת סעיף 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9746D" w:rsidRDefault="00F97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סעיף 4</w:t>
            </w:r>
          </w:p>
        </w:tc>
        <w:tc>
          <w:tcPr>
            <w:tcW w:w="124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9746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9746D" w:rsidRDefault="00F97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9746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9746D" w:rsidRDefault="00F97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9746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9746D" w:rsidRDefault="00F9746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9746D" w:rsidRDefault="00F9746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</w:p>
    <w:p w:rsidR="00F9746D" w:rsidRPr="00921CFC" w:rsidRDefault="00F9746D" w:rsidP="00921CFC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הציבור (הגבלות לאחר פרישה) (תחולה על חיילים ושוטרים), תשל"ו</w:t>
      </w:r>
      <w:r>
        <w:rPr>
          <w:rFonts w:cs="FrankRuehl"/>
          <w:sz w:val="32"/>
          <w:rtl/>
        </w:rPr>
        <w:t>–1976</w:t>
      </w:r>
      <w:r>
        <w:rPr>
          <w:rStyle w:val="super"/>
          <w:rFonts w:cs="Miriam"/>
          <w:noProof w:val="0"/>
          <w:rtl/>
          <w:lang w:eastAsia="he-IL"/>
        </w:rPr>
        <w:t>(6)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שירות הציבור (הגבלות לאחר פרישה), תשכ"ט</w:t>
      </w:r>
      <w:r>
        <w:rPr>
          <w:rStyle w:val="default"/>
          <w:rFonts w:cs="FrankRuehl"/>
          <w:rtl/>
        </w:rPr>
        <w:t>–1969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ולאחר התייעצות עם שר הבטחון ושר המשטרה, אני מתקין תקנות אלה: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F9746D" w:rsidRDefault="00F97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סעיף 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4 לחוק יחול על מי שפרש משירות כחייל בצבא-הגנה לישראל או כשוטר במשטרת ישראל, ונתקיים בו אחד מאלה:</w:t>
      </w:r>
    </w:p>
    <w:p w:rsidR="00F9746D" w:rsidRDefault="00F974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מוסמך להחליט על פי שיקול-דעת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לבדו, או עם חייל או שוטר אחר, או עם עובד אחר בשירות הציבור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על רכישתם של טובין או שירותים מגורם אזרחי או על </w:t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נקת זכות אחרת לגורם אזרחי;</w:t>
      </w:r>
    </w:p>
    <w:p w:rsidR="00F9746D" w:rsidRDefault="00F974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מוסמך להמליץ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לבדו, או עם אדם אחר כמפורט בפסקה (1)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על רכישה או על הענקת זכות אחרת כאמור;</w:t>
      </w:r>
    </w:p>
    <w:p w:rsidR="00F9746D" w:rsidRDefault="00F974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ממונה על חייל או על שוטר המוסמך להחליט או להמליץ כאמור בפסקאות (1) או (2).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תקנה זו, "גורם אזרחי"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אחד מאלה:</w:t>
      </w:r>
    </w:p>
    <w:p w:rsidR="00F9746D" w:rsidRDefault="00F974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חיד שאיננו חייל, שוטר או עובד אחר בשירות הציבור;</w:t>
      </w:r>
    </w:p>
    <w:p w:rsidR="00F9746D" w:rsidRDefault="00F9746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בני אדם, מואגד או שאינו מואגד, שהשליטה בו איננה בידי המדינה או בידי תאגיד שיש למדינה שליטה בו.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F9746D" w:rsidRDefault="00F97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 הציבור (הגבלות לאחר פרישה) (תחולה על חיילים ושוטרים), תשל"א</w:t>
      </w:r>
      <w:r>
        <w:rPr>
          <w:rStyle w:val="default"/>
          <w:rFonts w:cs="FrankRuehl"/>
          <w:rtl/>
        </w:rPr>
        <w:t xml:space="preserve">–1971 — </w:t>
      </w:r>
      <w:r>
        <w:rPr>
          <w:rStyle w:val="default"/>
          <w:rFonts w:cs="FrankRuehl" w:hint="cs"/>
          <w:rtl/>
        </w:rPr>
        <w:t>בטלות.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F9746D" w:rsidRDefault="00F97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של תקנות אלה ביום השלושים אחרי פרסומן.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F9746D" w:rsidRDefault="00F9746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הציבור (הגבלות לאחר פרישה) (תחולה על חיילים ושוטרים), תשל"ו</w:t>
      </w:r>
      <w:r>
        <w:rPr>
          <w:rStyle w:val="default"/>
          <w:rFonts w:cs="FrankRuehl"/>
          <w:rtl/>
        </w:rPr>
        <w:t>–1976".</w:t>
      </w: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746D" w:rsidRDefault="00F9746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בטבת תשל"ו (30 בדצמבר 1975)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:rsidR="00F9746D" w:rsidRDefault="00F9746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F9746D" w:rsidRDefault="00F9746D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F9746D" w:rsidRDefault="00F9746D" w:rsidP="00921C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(6)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921CFC">
          <w:rPr>
            <w:rStyle w:val="Hyperlink"/>
            <w:rFonts w:cs="FrankRuehl" w:hint="cs"/>
            <w:rtl/>
          </w:rPr>
          <w:t xml:space="preserve">ק"ת </w:t>
        </w:r>
        <w:r w:rsidR="00921CFC" w:rsidRPr="00921CFC">
          <w:rPr>
            <w:rStyle w:val="Hyperlink"/>
            <w:rFonts w:cs="FrankRuehl" w:hint="cs"/>
            <w:rtl/>
          </w:rPr>
          <w:t>תש</w:t>
        </w:r>
        <w:r w:rsidR="00921CFC" w:rsidRPr="00921CFC">
          <w:rPr>
            <w:rStyle w:val="Hyperlink"/>
            <w:rFonts w:cs="FrankRuehl"/>
            <w:rtl/>
          </w:rPr>
          <w:t>ל"</w:t>
        </w:r>
        <w:r w:rsidR="00921CFC" w:rsidRPr="00921CFC">
          <w:rPr>
            <w:rStyle w:val="Hyperlink"/>
            <w:rFonts w:cs="FrankRuehl" w:hint="cs"/>
            <w:rtl/>
          </w:rPr>
          <w:t xml:space="preserve">ו </w:t>
        </w:r>
        <w:r w:rsidRPr="00921CFC">
          <w:rPr>
            <w:rStyle w:val="Hyperlink"/>
            <w:rFonts w:cs="FrankRuehl" w:hint="cs"/>
            <w:rtl/>
          </w:rPr>
          <w:t>מס' 3463</w:t>
        </w:r>
      </w:hyperlink>
      <w:r>
        <w:rPr>
          <w:rFonts w:cs="FrankRuehl" w:hint="cs"/>
          <w:rtl/>
        </w:rPr>
        <w:t xml:space="preserve"> מיום 15.1.1976</w:t>
      </w:r>
      <w:r w:rsidR="00921CFC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עמ' 840.</w:t>
      </w:r>
    </w:p>
    <w:p w:rsidR="00F9746D" w:rsidRDefault="00F9746D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F9746D" w:rsidRDefault="00F9746D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:rsidR="00F9746D" w:rsidRDefault="00F9746D">
      <w:pPr>
        <w:ind w:right="1134"/>
        <w:rPr>
          <w:rFonts w:cs="David"/>
          <w:sz w:val="24"/>
          <w:rtl/>
        </w:rPr>
      </w:pPr>
    </w:p>
    <w:sectPr w:rsidR="00F974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FFF" w:rsidRDefault="00CD1FFF">
      <w:r>
        <w:separator/>
      </w:r>
    </w:p>
  </w:endnote>
  <w:endnote w:type="continuationSeparator" w:id="0">
    <w:p w:rsidR="00CD1FFF" w:rsidRDefault="00CD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4CE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M:\0a-lishca\law\gideon-03-02-13\law01\law01-a\P221K3_005.doc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FFF" w:rsidRDefault="00CD1FFF">
      <w:r>
        <w:separator/>
      </w:r>
    </w:p>
  </w:footnote>
  <w:footnote w:type="continuationSeparator" w:id="0">
    <w:p w:rsidR="00CD1FFF" w:rsidRDefault="00CD1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C"/>
    <w:rsid w:val="00555AEA"/>
    <w:rsid w:val="00594CE7"/>
    <w:rsid w:val="00921CFC"/>
    <w:rsid w:val="00B724A9"/>
    <w:rsid w:val="00CD1FFF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21FA9F-4E59-46A3-BF53-EAB31599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6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221ג</vt:lpstr>
    </vt:vector>
  </TitlesOfParts>
  <Company/>
  <LinksUpToDate>false</LinksUpToDate>
  <CharactersWithSpaces>1834</CharactersWithSpaces>
  <SharedDoc>false</SharedDoc>
  <HLinks>
    <vt:vector size="30" baseType="variant">
      <vt:variant>
        <vt:i4>8126479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http://www.nevo.co.il/Law_word/law06/TAK-3463.pdf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221ג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P221K3</vt:lpwstr>
  </property>
  <property fmtid="{D5CDD505-2E9C-101B-9397-08002B2CF9AE}" pid="3" name="CHNAME">
    <vt:lpwstr>שירות הציבור</vt:lpwstr>
  </property>
  <property fmtid="{D5CDD505-2E9C-101B-9397-08002B2CF9AE}" pid="4" name="LAWNAME">
    <vt:lpwstr>תקנות שירות הציבור (הגבלות לאחר פרישה) (תחולה על חיילים ושוטרים), תשל"ו–1976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צה"ל</vt:lpwstr>
  </property>
  <property fmtid="{D5CDD505-2E9C-101B-9397-08002B2CF9AE}" pid="13" name="NOSE32">
    <vt:lpwstr>חיילים</vt:lpwstr>
  </property>
  <property fmtid="{D5CDD505-2E9C-101B-9397-08002B2CF9AE}" pid="14" name="NOSE42">
    <vt:lpwstr/>
  </property>
  <property fmtid="{D5CDD505-2E9C-101B-9397-08002B2CF9AE}" pid="15" name="NOSE13">
    <vt:lpwstr>בטחון</vt:lpwstr>
  </property>
  <property fmtid="{D5CDD505-2E9C-101B-9397-08002B2CF9AE}" pid="16" name="NOSE23">
    <vt:lpwstr>משטרה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הציבור (הגבלות לאחר פרישה)</vt:lpwstr>
  </property>
  <property fmtid="{D5CDD505-2E9C-101B-9397-08002B2CF9AE}" pid="48" name="MEKOR_SAIF1">
    <vt:lpwstr>5X</vt:lpwstr>
  </property>
</Properties>
</file>