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905" w:rsidRDefault="00D41905" w:rsidP="007879F4">
      <w:pPr>
        <w:pStyle w:val="big-header"/>
        <w:ind w:left="0" w:right="1134"/>
      </w:pPr>
      <w:r>
        <w:rPr>
          <w:rtl/>
        </w:rPr>
        <w:t>תקנות שירות הקבע בצבא-הגנה לישראל (גימלאות) (כללים ומבחנים לקביעת דרגת נכות), תשנ"א</w:t>
      </w:r>
      <w:r w:rsidR="007879F4">
        <w:rPr>
          <w:rFonts w:hint="cs"/>
          <w:rtl/>
        </w:rPr>
        <w:t>-</w:t>
      </w:r>
      <w:r>
        <w:rPr>
          <w:rtl/>
        </w:rPr>
        <w:t>1990</w:t>
      </w:r>
    </w:p>
    <w:p w:rsidR="005A4E81" w:rsidRPr="005A4E81" w:rsidRDefault="005A4E81" w:rsidP="005A4E81">
      <w:pPr>
        <w:spacing w:line="320" w:lineRule="auto"/>
        <w:jc w:val="left"/>
        <w:rPr>
          <w:rFonts w:cs="FrankRuehl"/>
          <w:szCs w:val="26"/>
          <w:rtl/>
        </w:rPr>
      </w:pPr>
    </w:p>
    <w:p w:rsidR="005A4E81" w:rsidRDefault="005A4E81" w:rsidP="005A4E81">
      <w:pPr>
        <w:spacing w:line="320" w:lineRule="auto"/>
        <w:jc w:val="left"/>
        <w:rPr>
          <w:rtl/>
        </w:rPr>
      </w:pPr>
    </w:p>
    <w:p w:rsidR="005A4E81" w:rsidRPr="005A4E81" w:rsidRDefault="005A4E81" w:rsidP="005A4E81">
      <w:pPr>
        <w:spacing w:line="320" w:lineRule="auto"/>
        <w:jc w:val="left"/>
        <w:rPr>
          <w:rFonts w:cs="Miriam"/>
          <w:szCs w:val="22"/>
          <w:rtl/>
        </w:rPr>
      </w:pPr>
      <w:r w:rsidRPr="005A4E81">
        <w:rPr>
          <w:rFonts w:cs="Miriam"/>
          <w:szCs w:val="22"/>
          <w:rtl/>
        </w:rPr>
        <w:t>בטחון</w:t>
      </w:r>
      <w:r w:rsidRPr="005A4E81">
        <w:rPr>
          <w:rFonts w:cs="FrankRuehl"/>
          <w:szCs w:val="26"/>
          <w:rtl/>
        </w:rPr>
        <w:t xml:space="preserve"> – צה"ל – שרות קבע (גמלאות)</w:t>
      </w:r>
    </w:p>
    <w:p w:rsidR="00D41905" w:rsidRDefault="00D4190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פרק א': פרשנות</w:t>
            </w:r>
          </w:p>
        </w:tc>
        <w:tc>
          <w:tcPr>
            <w:tcW w:w="567" w:type="dxa"/>
          </w:tcPr>
          <w:p w:rsidR="00DB0984" w:rsidRPr="00DB0984" w:rsidRDefault="00DB0984" w:rsidP="00DB0984">
            <w:pPr>
              <w:spacing w:line="240" w:lineRule="auto"/>
              <w:jc w:val="left"/>
              <w:rPr>
                <w:rStyle w:val="Hyperlink"/>
                <w:rtl/>
              </w:rPr>
            </w:pPr>
            <w:hyperlink w:anchor="med0" w:tooltip="פרק א: פרשנו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הגדרות</w:t>
            </w:r>
          </w:p>
        </w:tc>
        <w:tc>
          <w:tcPr>
            <w:tcW w:w="567" w:type="dxa"/>
          </w:tcPr>
          <w:p w:rsidR="00DB0984" w:rsidRPr="00DB0984" w:rsidRDefault="00DB0984" w:rsidP="00DB0984">
            <w:pPr>
              <w:spacing w:line="240" w:lineRule="auto"/>
              <w:jc w:val="left"/>
              <w:rPr>
                <w:rStyle w:val="Hyperlink"/>
                <w:rtl/>
              </w:rPr>
            </w:pPr>
            <w:hyperlink w:anchor="Seif1" w:tooltip="הגדרו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פרק ב': הועדה וההליכים הקשורים בעבודתה</w:t>
            </w:r>
          </w:p>
        </w:tc>
        <w:tc>
          <w:tcPr>
            <w:tcW w:w="567" w:type="dxa"/>
          </w:tcPr>
          <w:p w:rsidR="00DB0984" w:rsidRPr="00DB0984" w:rsidRDefault="00DB0984" w:rsidP="00DB0984">
            <w:pPr>
              <w:spacing w:line="240" w:lineRule="auto"/>
              <w:jc w:val="left"/>
              <w:rPr>
                <w:rStyle w:val="Hyperlink"/>
                <w:rtl/>
              </w:rPr>
            </w:pPr>
            <w:hyperlink w:anchor="med1" w:tooltip="פרק ב: הועדה וההליכים הקשורים בעבודת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2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קביעת דרגת נכות בידי ועדה</w:t>
            </w:r>
          </w:p>
        </w:tc>
        <w:tc>
          <w:tcPr>
            <w:tcW w:w="567" w:type="dxa"/>
          </w:tcPr>
          <w:p w:rsidR="00DB0984" w:rsidRPr="00DB0984" w:rsidRDefault="00DB0984" w:rsidP="00DB0984">
            <w:pPr>
              <w:spacing w:line="240" w:lineRule="auto"/>
              <w:jc w:val="left"/>
              <w:rPr>
                <w:rStyle w:val="Hyperlink"/>
                <w:rtl/>
              </w:rPr>
            </w:pPr>
            <w:hyperlink w:anchor="Seif2" w:tooltip="קביעת דרגת נכות בידי ועד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3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המועד והמקום לבדיקת הפונה</w:t>
            </w:r>
          </w:p>
        </w:tc>
        <w:tc>
          <w:tcPr>
            <w:tcW w:w="567" w:type="dxa"/>
          </w:tcPr>
          <w:p w:rsidR="00DB0984" w:rsidRPr="00DB0984" w:rsidRDefault="00DB0984" w:rsidP="00DB0984">
            <w:pPr>
              <w:spacing w:line="240" w:lineRule="auto"/>
              <w:jc w:val="left"/>
              <w:rPr>
                <w:rStyle w:val="Hyperlink"/>
                <w:rtl/>
              </w:rPr>
            </w:pPr>
            <w:hyperlink w:anchor="Seif3" w:tooltip="המועד והמקום לבדיקת הפונ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4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המצאת מסמכים</w:t>
            </w:r>
          </w:p>
        </w:tc>
        <w:tc>
          <w:tcPr>
            <w:tcW w:w="567" w:type="dxa"/>
          </w:tcPr>
          <w:p w:rsidR="00DB0984" w:rsidRPr="00DB0984" w:rsidRDefault="00DB0984" w:rsidP="00DB0984">
            <w:pPr>
              <w:spacing w:line="240" w:lineRule="auto"/>
              <w:jc w:val="left"/>
              <w:rPr>
                <w:rStyle w:val="Hyperlink"/>
                <w:rtl/>
              </w:rPr>
            </w:pPr>
            <w:hyperlink w:anchor="Seif4" w:tooltip="המצאת מסמכים"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5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בדיקה</w:t>
            </w:r>
          </w:p>
        </w:tc>
        <w:tc>
          <w:tcPr>
            <w:tcW w:w="567" w:type="dxa"/>
          </w:tcPr>
          <w:p w:rsidR="00DB0984" w:rsidRPr="00DB0984" w:rsidRDefault="00DB0984" w:rsidP="00DB0984">
            <w:pPr>
              <w:spacing w:line="240" w:lineRule="auto"/>
              <w:jc w:val="left"/>
              <w:rPr>
                <w:rStyle w:val="Hyperlink"/>
                <w:rtl/>
              </w:rPr>
            </w:pPr>
            <w:hyperlink w:anchor="Seif5" w:tooltip="בדיק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6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אי התייצבות או  אי מילוי אחרי הוראות הועדה</w:t>
            </w:r>
          </w:p>
        </w:tc>
        <w:tc>
          <w:tcPr>
            <w:tcW w:w="567" w:type="dxa"/>
          </w:tcPr>
          <w:p w:rsidR="00DB0984" w:rsidRPr="00DB0984" w:rsidRDefault="00DB0984" w:rsidP="00DB0984">
            <w:pPr>
              <w:spacing w:line="240" w:lineRule="auto"/>
              <w:jc w:val="left"/>
              <w:rPr>
                <w:rStyle w:val="Hyperlink"/>
                <w:rtl/>
              </w:rPr>
            </w:pPr>
            <w:hyperlink w:anchor="Seif6" w:tooltip="אי התייצבות או  אי מילוי אחרי הוראות הועד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7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בדיקה במקום הימצא הפונה</w:t>
            </w:r>
          </w:p>
        </w:tc>
        <w:tc>
          <w:tcPr>
            <w:tcW w:w="567" w:type="dxa"/>
          </w:tcPr>
          <w:p w:rsidR="00DB0984" w:rsidRPr="00DB0984" w:rsidRDefault="00DB0984" w:rsidP="00DB0984">
            <w:pPr>
              <w:spacing w:line="240" w:lineRule="auto"/>
              <w:jc w:val="left"/>
              <w:rPr>
                <w:rStyle w:val="Hyperlink"/>
                <w:rtl/>
              </w:rPr>
            </w:pPr>
            <w:hyperlink w:anchor="Seif7" w:tooltip="בדיקה במקום הימצא הפונ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8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קביעת דרגת נכות על סמך מסמכים</w:t>
            </w:r>
          </w:p>
        </w:tc>
        <w:tc>
          <w:tcPr>
            <w:tcW w:w="567" w:type="dxa"/>
          </w:tcPr>
          <w:p w:rsidR="00DB0984" w:rsidRPr="00DB0984" w:rsidRDefault="00DB0984" w:rsidP="00DB0984">
            <w:pPr>
              <w:spacing w:line="240" w:lineRule="auto"/>
              <w:jc w:val="left"/>
              <w:rPr>
                <w:rStyle w:val="Hyperlink"/>
                <w:rtl/>
              </w:rPr>
            </w:pPr>
            <w:hyperlink w:anchor="Seif8" w:tooltip="קביעת דרגת נכות על סמך מסמכים"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9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נוכחות זרים בשעת בדיקה</w:t>
            </w:r>
          </w:p>
        </w:tc>
        <w:tc>
          <w:tcPr>
            <w:tcW w:w="567" w:type="dxa"/>
          </w:tcPr>
          <w:p w:rsidR="00DB0984" w:rsidRPr="00DB0984" w:rsidRDefault="00DB0984" w:rsidP="00DB0984">
            <w:pPr>
              <w:spacing w:line="240" w:lineRule="auto"/>
              <w:jc w:val="left"/>
              <w:rPr>
                <w:rStyle w:val="Hyperlink"/>
                <w:rtl/>
              </w:rPr>
            </w:pPr>
            <w:hyperlink w:anchor="Seif9" w:tooltip="נוכחות זרים בשעת בדיק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10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חילוקי דעות בין חברי הועדה</w:t>
            </w:r>
          </w:p>
        </w:tc>
        <w:tc>
          <w:tcPr>
            <w:tcW w:w="567" w:type="dxa"/>
          </w:tcPr>
          <w:p w:rsidR="00DB0984" w:rsidRPr="00DB0984" w:rsidRDefault="00DB0984" w:rsidP="00DB0984">
            <w:pPr>
              <w:spacing w:line="240" w:lineRule="auto"/>
              <w:jc w:val="left"/>
              <w:rPr>
                <w:rStyle w:val="Hyperlink"/>
                <w:rtl/>
              </w:rPr>
            </w:pPr>
            <w:hyperlink w:anchor="Seif10" w:tooltip="חילוקי דעות בין חברי הועד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11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החלטת הועדה ורישומה</w:t>
            </w:r>
          </w:p>
        </w:tc>
        <w:tc>
          <w:tcPr>
            <w:tcW w:w="567" w:type="dxa"/>
          </w:tcPr>
          <w:p w:rsidR="00DB0984" w:rsidRPr="00DB0984" w:rsidRDefault="00DB0984" w:rsidP="00DB0984">
            <w:pPr>
              <w:spacing w:line="240" w:lineRule="auto"/>
              <w:jc w:val="left"/>
              <w:rPr>
                <w:rStyle w:val="Hyperlink"/>
                <w:rtl/>
              </w:rPr>
            </w:pPr>
            <w:hyperlink w:anchor="Seif11" w:tooltip="החלטת הועדה ורישומ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12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הודעה לפונה</w:t>
            </w:r>
          </w:p>
        </w:tc>
        <w:tc>
          <w:tcPr>
            <w:tcW w:w="567" w:type="dxa"/>
          </w:tcPr>
          <w:p w:rsidR="00DB0984" w:rsidRPr="00DB0984" w:rsidRDefault="00DB0984" w:rsidP="00DB0984">
            <w:pPr>
              <w:spacing w:line="240" w:lineRule="auto"/>
              <w:jc w:val="left"/>
              <w:rPr>
                <w:rStyle w:val="Hyperlink"/>
                <w:rtl/>
              </w:rPr>
            </w:pPr>
            <w:hyperlink w:anchor="Seif12" w:tooltip="הודעה לפונ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פרק ג': קביעת דרגת נכות</w:t>
            </w:r>
          </w:p>
        </w:tc>
        <w:tc>
          <w:tcPr>
            <w:tcW w:w="567" w:type="dxa"/>
          </w:tcPr>
          <w:p w:rsidR="00DB0984" w:rsidRPr="00DB0984" w:rsidRDefault="00DB0984" w:rsidP="00DB0984">
            <w:pPr>
              <w:spacing w:line="240" w:lineRule="auto"/>
              <w:jc w:val="left"/>
              <w:rPr>
                <w:rStyle w:val="Hyperlink"/>
                <w:rtl/>
              </w:rPr>
            </w:pPr>
            <w:hyperlink w:anchor="med2" w:tooltip="פרק ג: קביעת דרגת נכו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13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דרגת נכות</w:t>
            </w:r>
          </w:p>
        </w:tc>
        <w:tc>
          <w:tcPr>
            <w:tcW w:w="567" w:type="dxa"/>
          </w:tcPr>
          <w:p w:rsidR="00DB0984" w:rsidRPr="00DB0984" w:rsidRDefault="00DB0984" w:rsidP="00DB0984">
            <w:pPr>
              <w:spacing w:line="240" w:lineRule="auto"/>
              <w:jc w:val="left"/>
              <w:rPr>
                <w:rStyle w:val="Hyperlink"/>
                <w:rtl/>
              </w:rPr>
            </w:pPr>
            <w:hyperlink w:anchor="Seif13" w:tooltip="דרגת נכו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14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קביעת דרגת נכות מורכבת</w:t>
            </w:r>
          </w:p>
        </w:tc>
        <w:tc>
          <w:tcPr>
            <w:tcW w:w="567" w:type="dxa"/>
          </w:tcPr>
          <w:p w:rsidR="00DB0984" w:rsidRPr="00DB0984" w:rsidRDefault="00DB0984" w:rsidP="00DB0984">
            <w:pPr>
              <w:spacing w:line="240" w:lineRule="auto"/>
              <w:jc w:val="left"/>
              <w:rPr>
                <w:rStyle w:val="Hyperlink"/>
                <w:rtl/>
              </w:rPr>
            </w:pPr>
            <w:hyperlink w:anchor="Seif14" w:tooltip="קביעת דרגת נכות מורכב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15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קביעת דרגת נכות מחוץ למבחנים</w:t>
            </w:r>
          </w:p>
        </w:tc>
        <w:tc>
          <w:tcPr>
            <w:tcW w:w="567" w:type="dxa"/>
          </w:tcPr>
          <w:p w:rsidR="00DB0984" w:rsidRPr="00DB0984" w:rsidRDefault="00DB0984" w:rsidP="00DB0984">
            <w:pPr>
              <w:spacing w:line="240" w:lineRule="auto"/>
              <w:jc w:val="left"/>
              <w:rPr>
                <w:rStyle w:val="Hyperlink"/>
                <w:rtl/>
              </w:rPr>
            </w:pPr>
            <w:hyperlink w:anchor="Seif15" w:tooltip="קביעת דרגת נכות מחוץ למבחנים"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16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דרגת נכות</w:t>
            </w:r>
          </w:p>
        </w:tc>
        <w:tc>
          <w:tcPr>
            <w:tcW w:w="567" w:type="dxa"/>
          </w:tcPr>
          <w:p w:rsidR="00DB0984" w:rsidRPr="00DB0984" w:rsidRDefault="00DB0984" w:rsidP="00DB0984">
            <w:pPr>
              <w:spacing w:line="240" w:lineRule="auto"/>
              <w:jc w:val="left"/>
              <w:rPr>
                <w:rStyle w:val="Hyperlink"/>
                <w:rtl/>
              </w:rPr>
            </w:pPr>
            <w:hyperlink w:anchor="Seif16" w:tooltip="דרגת נכו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17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שיקולים נוספים בקביעת דרגת נכות</w:t>
            </w:r>
          </w:p>
        </w:tc>
        <w:tc>
          <w:tcPr>
            <w:tcW w:w="567" w:type="dxa"/>
          </w:tcPr>
          <w:p w:rsidR="00DB0984" w:rsidRPr="00DB0984" w:rsidRDefault="00DB0984" w:rsidP="00DB0984">
            <w:pPr>
              <w:spacing w:line="240" w:lineRule="auto"/>
              <w:jc w:val="left"/>
              <w:rPr>
                <w:rStyle w:val="Hyperlink"/>
                <w:rtl/>
              </w:rPr>
            </w:pPr>
            <w:hyperlink w:anchor="Seif17" w:tooltip="שיקולים נוספים בקביעת דרגת נכו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18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דרגת נכות מיוחדת</w:t>
            </w:r>
          </w:p>
        </w:tc>
        <w:tc>
          <w:tcPr>
            <w:tcW w:w="567" w:type="dxa"/>
          </w:tcPr>
          <w:p w:rsidR="00DB0984" w:rsidRPr="00DB0984" w:rsidRDefault="00DB0984" w:rsidP="00DB0984">
            <w:pPr>
              <w:spacing w:line="240" w:lineRule="auto"/>
              <w:jc w:val="left"/>
              <w:rPr>
                <w:rStyle w:val="Hyperlink"/>
                <w:rtl/>
              </w:rPr>
            </w:pPr>
            <w:hyperlink w:anchor="Seif18" w:tooltip="דרגת נכות מיוחד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19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חוות דעת מיועץ</w:t>
            </w:r>
          </w:p>
        </w:tc>
        <w:tc>
          <w:tcPr>
            <w:tcW w:w="567" w:type="dxa"/>
          </w:tcPr>
          <w:p w:rsidR="00DB0984" w:rsidRPr="00DB0984" w:rsidRDefault="00DB0984" w:rsidP="00DB0984">
            <w:pPr>
              <w:spacing w:line="240" w:lineRule="auto"/>
              <w:jc w:val="left"/>
              <w:rPr>
                <w:rStyle w:val="Hyperlink"/>
                <w:rtl/>
              </w:rPr>
            </w:pPr>
            <w:hyperlink w:anchor="Seif19" w:tooltip="חוות דעת מיועץ"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20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תחילת הקביעה</w:t>
            </w:r>
          </w:p>
        </w:tc>
        <w:tc>
          <w:tcPr>
            <w:tcW w:w="567" w:type="dxa"/>
          </w:tcPr>
          <w:p w:rsidR="00DB0984" w:rsidRPr="00DB0984" w:rsidRDefault="00DB0984" w:rsidP="00DB0984">
            <w:pPr>
              <w:spacing w:line="240" w:lineRule="auto"/>
              <w:jc w:val="left"/>
              <w:rPr>
                <w:rStyle w:val="Hyperlink"/>
                <w:rtl/>
              </w:rPr>
            </w:pPr>
            <w:hyperlink w:anchor="Seif20" w:tooltip="תחילת הקביע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פרק ד': הוראות שונות</w:t>
            </w:r>
          </w:p>
        </w:tc>
        <w:tc>
          <w:tcPr>
            <w:tcW w:w="567" w:type="dxa"/>
          </w:tcPr>
          <w:p w:rsidR="00DB0984" w:rsidRPr="00DB0984" w:rsidRDefault="00DB0984" w:rsidP="00DB0984">
            <w:pPr>
              <w:spacing w:line="240" w:lineRule="auto"/>
              <w:jc w:val="left"/>
              <w:rPr>
                <w:rStyle w:val="Hyperlink"/>
                <w:rtl/>
              </w:rPr>
            </w:pPr>
            <w:hyperlink w:anchor="med3" w:tooltip="פרק ד: הוראות שונו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21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קביעה מחדש</w:t>
            </w:r>
          </w:p>
        </w:tc>
        <w:tc>
          <w:tcPr>
            <w:tcW w:w="567" w:type="dxa"/>
          </w:tcPr>
          <w:p w:rsidR="00DB0984" w:rsidRPr="00DB0984" w:rsidRDefault="00DB0984" w:rsidP="00DB0984">
            <w:pPr>
              <w:spacing w:line="240" w:lineRule="auto"/>
              <w:jc w:val="left"/>
              <w:rPr>
                <w:rStyle w:val="Hyperlink"/>
                <w:rtl/>
              </w:rPr>
            </w:pPr>
            <w:hyperlink w:anchor="Seif21" w:tooltip="קביעה מחדש"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22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תחילה</w:t>
            </w:r>
          </w:p>
        </w:tc>
        <w:tc>
          <w:tcPr>
            <w:tcW w:w="567" w:type="dxa"/>
          </w:tcPr>
          <w:p w:rsidR="00DB0984" w:rsidRPr="00DB0984" w:rsidRDefault="00DB0984" w:rsidP="00DB0984">
            <w:pPr>
              <w:spacing w:line="240" w:lineRule="auto"/>
              <w:jc w:val="left"/>
              <w:rPr>
                <w:rStyle w:val="Hyperlink"/>
                <w:rtl/>
              </w:rPr>
            </w:pPr>
            <w:hyperlink w:anchor="Seif22" w:tooltip="תחיל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r>
              <w:rPr>
                <w:rFonts w:cs="Times New Roman"/>
                <w:sz w:val="24"/>
                <w:rtl/>
              </w:rPr>
              <w:t xml:space="preserve">סעיף 23 </w:t>
            </w: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הוראות מעבר</w:t>
            </w:r>
          </w:p>
        </w:tc>
        <w:tc>
          <w:tcPr>
            <w:tcW w:w="567" w:type="dxa"/>
          </w:tcPr>
          <w:p w:rsidR="00DB0984" w:rsidRPr="00DB0984" w:rsidRDefault="00DB0984" w:rsidP="00DB0984">
            <w:pPr>
              <w:spacing w:line="240" w:lineRule="auto"/>
              <w:jc w:val="left"/>
              <w:rPr>
                <w:rStyle w:val="Hyperlink"/>
                <w:rtl/>
              </w:rPr>
            </w:pPr>
            <w:hyperlink w:anchor="Seif23" w:tooltip="הוראות מעבר"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תוספת ראשונה</w:t>
            </w:r>
          </w:p>
        </w:tc>
        <w:tc>
          <w:tcPr>
            <w:tcW w:w="567" w:type="dxa"/>
          </w:tcPr>
          <w:p w:rsidR="00DB0984" w:rsidRPr="00DB0984" w:rsidRDefault="00DB0984" w:rsidP="00DB0984">
            <w:pPr>
              <w:spacing w:line="240" w:lineRule="auto"/>
              <w:jc w:val="left"/>
              <w:rPr>
                <w:rStyle w:val="Hyperlink"/>
                <w:rtl/>
              </w:rPr>
            </w:pPr>
            <w:hyperlink w:anchor="med4" w:tooltip="תוספת ראשונ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חלק א': ליקויים</w:t>
            </w:r>
          </w:p>
        </w:tc>
        <w:tc>
          <w:tcPr>
            <w:tcW w:w="567" w:type="dxa"/>
          </w:tcPr>
          <w:p w:rsidR="00DB0984" w:rsidRPr="00DB0984" w:rsidRDefault="00DB0984" w:rsidP="00DB0984">
            <w:pPr>
              <w:spacing w:line="240" w:lineRule="auto"/>
              <w:jc w:val="left"/>
              <w:rPr>
                <w:rStyle w:val="Hyperlink"/>
                <w:rtl/>
              </w:rPr>
            </w:pPr>
            <w:hyperlink w:anchor="hed20" w:tooltip="חלק א: ליקויים"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חלק ב' – מחלות מקצוע</w:t>
            </w:r>
          </w:p>
        </w:tc>
        <w:tc>
          <w:tcPr>
            <w:tcW w:w="567" w:type="dxa"/>
          </w:tcPr>
          <w:p w:rsidR="00DB0984" w:rsidRPr="00DB0984" w:rsidRDefault="00DB0984" w:rsidP="00DB0984">
            <w:pPr>
              <w:spacing w:line="240" w:lineRule="auto"/>
              <w:jc w:val="left"/>
              <w:rPr>
                <w:rStyle w:val="Hyperlink"/>
                <w:rtl/>
              </w:rPr>
            </w:pPr>
            <w:hyperlink w:anchor="hed21" w:tooltip="חלק ב – מחלות מקצוע"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חלק ג': מבחנים בנסיבות מיוחדות</w:t>
            </w:r>
          </w:p>
        </w:tc>
        <w:tc>
          <w:tcPr>
            <w:tcW w:w="567" w:type="dxa"/>
          </w:tcPr>
          <w:p w:rsidR="00DB0984" w:rsidRPr="00DB0984" w:rsidRDefault="00DB0984" w:rsidP="00DB0984">
            <w:pPr>
              <w:spacing w:line="240" w:lineRule="auto"/>
              <w:jc w:val="left"/>
              <w:rPr>
                <w:rStyle w:val="Hyperlink"/>
                <w:rtl/>
              </w:rPr>
            </w:pPr>
            <w:hyperlink w:anchor="hed22" w:tooltip="חלק ג: מבחנים בנסיבות מיוחדות"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B0984" w:rsidRPr="00DB0984">
        <w:tblPrEx>
          <w:tblCellMar>
            <w:top w:w="0" w:type="dxa"/>
            <w:bottom w:w="0" w:type="dxa"/>
          </w:tblCellMar>
        </w:tblPrEx>
        <w:tc>
          <w:tcPr>
            <w:tcW w:w="1247" w:type="dxa"/>
          </w:tcPr>
          <w:p w:rsidR="00DB0984" w:rsidRPr="00DB0984" w:rsidRDefault="00DB0984" w:rsidP="00DB0984">
            <w:pPr>
              <w:spacing w:line="240" w:lineRule="auto"/>
              <w:jc w:val="left"/>
              <w:rPr>
                <w:rFonts w:cs="Frankruhel"/>
                <w:sz w:val="24"/>
                <w:rtl/>
              </w:rPr>
            </w:pPr>
          </w:p>
        </w:tc>
        <w:tc>
          <w:tcPr>
            <w:tcW w:w="5669" w:type="dxa"/>
          </w:tcPr>
          <w:p w:rsidR="00DB0984" w:rsidRPr="00DB0984" w:rsidRDefault="00DB0984" w:rsidP="00DB0984">
            <w:pPr>
              <w:spacing w:line="240" w:lineRule="auto"/>
              <w:jc w:val="left"/>
              <w:rPr>
                <w:rFonts w:cs="Frankruhel"/>
                <w:sz w:val="24"/>
                <w:rtl/>
              </w:rPr>
            </w:pPr>
            <w:r>
              <w:rPr>
                <w:rFonts w:cs="Times New Roman"/>
                <w:sz w:val="24"/>
                <w:rtl/>
              </w:rPr>
              <w:t>תוספת שניה</w:t>
            </w:r>
          </w:p>
        </w:tc>
        <w:tc>
          <w:tcPr>
            <w:tcW w:w="567" w:type="dxa"/>
          </w:tcPr>
          <w:p w:rsidR="00DB0984" w:rsidRPr="00DB0984" w:rsidRDefault="00DB0984" w:rsidP="00DB0984">
            <w:pPr>
              <w:spacing w:line="240" w:lineRule="auto"/>
              <w:jc w:val="left"/>
              <w:rPr>
                <w:rStyle w:val="Hyperlink"/>
                <w:rtl/>
              </w:rPr>
            </w:pPr>
            <w:hyperlink w:anchor="med5" w:tooltip="תוספת שניה" w:history="1">
              <w:r w:rsidRPr="00DB0984">
                <w:rPr>
                  <w:rStyle w:val="Hyperlink"/>
                </w:rPr>
                <w:t>Go</w:t>
              </w:r>
            </w:hyperlink>
          </w:p>
        </w:tc>
        <w:tc>
          <w:tcPr>
            <w:tcW w:w="850" w:type="dxa"/>
          </w:tcPr>
          <w:p w:rsidR="00DB0984" w:rsidRPr="00DB0984" w:rsidRDefault="00DB0984" w:rsidP="00DB098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41905" w:rsidRDefault="00D41905">
      <w:pPr>
        <w:pStyle w:val="big-header"/>
        <w:ind w:left="0" w:right="1134"/>
        <w:rPr>
          <w:rtl/>
        </w:rPr>
      </w:pPr>
    </w:p>
    <w:p w:rsidR="00D41905" w:rsidRDefault="00D41905" w:rsidP="005A4E81">
      <w:pPr>
        <w:pStyle w:val="big-header"/>
        <w:ind w:left="0" w:right="1134"/>
        <w:rPr>
          <w:rStyle w:val="default"/>
          <w:rFonts w:cs="FrankRuehl" w:hint="cs"/>
          <w:rtl/>
        </w:rPr>
      </w:pPr>
      <w:r>
        <w:rPr>
          <w:rtl/>
        </w:rPr>
        <w:br w:type="page"/>
      </w:r>
      <w:r>
        <w:rPr>
          <w:rtl/>
        </w:rPr>
        <w:lastRenderedPageBreak/>
        <w:t>ת</w:t>
      </w:r>
      <w:r>
        <w:rPr>
          <w:rFonts w:hint="cs"/>
          <w:rtl/>
        </w:rPr>
        <w:t>קנות שירות הקבע בצבא-הגנה ל</w:t>
      </w:r>
      <w:r>
        <w:rPr>
          <w:rtl/>
        </w:rPr>
        <w:t>י</w:t>
      </w:r>
      <w:r>
        <w:rPr>
          <w:rFonts w:hint="cs"/>
          <w:rtl/>
        </w:rPr>
        <w:t>שראל (גימלאות) (כללים ומבחנים לקביעת דרגת נכות), תשנ"א</w:t>
      </w:r>
      <w:r w:rsidR="007879F4">
        <w:rPr>
          <w:rFonts w:hint="cs"/>
          <w:rtl/>
        </w:rPr>
        <w:t>-</w:t>
      </w:r>
      <w:r>
        <w:rPr>
          <w:rFonts w:hint="cs"/>
          <w:rtl/>
        </w:rPr>
        <w:t>1990</w:t>
      </w:r>
      <w:r w:rsidR="007879F4">
        <w:rPr>
          <w:rStyle w:val="a6"/>
          <w:rtl/>
        </w:rPr>
        <w:footnoteReference w:customMarkFollows="1" w:id="1"/>
        <w:t>*</w:t>
      </w:r>
    </w:p>
    <w:p w:rsidR="00D41905" w:rsidRDefault="00D41905" w:rsidP="007879F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69(3) לחוק שירות הקבע בצבא-הגנה לישראל (גימלאות) [נוסח משולב], תשמ"ה</w:t>
      </w:r>
      <w:r w:rsidR="007879F4">
        <w:rPr>
          <w:rStyle w:val="default"/>
          <w:rFonts w:cs="FrankRuehl" w:hint="cs"/>
          <w:rtl/>
        </w:rPr>
        <w:t>-</w:t>
      </w:r>
      <w:r>
        <w:rPr>
          <w:rStyle w:val="default"/>
          <w:rFonts w:cs="FrankRuehl" w:hint="cs"/>
          <w:rtl/>
        </w:rPr>
        <w:t>1985, אני מתקין תקנות אלה:</w:t>
      </w:r>
    </w:p>
    <w:p w:rsidR="00D41905" w:rsidRDefault="00D4190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D41905" w:rsidRDefault="00D4190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4.2pt;z-index:251646464"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7879F4">
        <w:rPr>
          <w:rStyle w:val="default"/>
          <w:rFonts w:cs="FrankRuehl"/>
          <w:rtl/>
        </w:rPr>
        <w:t>–</w:t>
      </w:r>
    </w:p>
    <w:p w:rsidR="00D41905" w:rsidRDefault="00D41905" w:rsidP="007879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קרפ"ר" </w:t>
      </w:r>
      <w:r w:rsidR="007879F4">
        <w:rPr>
          <w:rStyle w:val="default"/>
          <w:rFonts w:cs="FrankRuehl" w:hint="cs"/>
          <w:rtl/>
        </w:rPr>
        <w:t>-</w:t>
      </w:r>
      <w:r>
        <w:rPr>
          <w:rStyle w:val="default"/>
          <w:rFonts w:cs="FrankRuehl" w:hint="cs"/>
          <w:rtl/>
        </w:rPr>
        <w:t xml:space="preserve"> קצין רפואה ראשי של </w:t>
      </w:r>
      <w:r>
        <w:rPr>
          <w:rStyle w:val="default"/>
          <w:rFonts w:cs="FrankRuehl"/>
          <w:rtl/>
        </w:rPr>
        <w:t>צ</w:t>
      </w:r>
      <w:r>
        <w:rPr>
          <w:rStyle w:val="default"/>
          <w:rFonts w:cs="FrankRuehl" w:hint="cs"/>
          <w:rtl/>
        </w:rPr>
        <w:t>בא-הגנה לישראל;</w:t>
      </w:r>
    </w:p>
    <w:p w:rsidR="00D41905" w:rsidRDefault="00D41905" w:rsidP="007879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רשימת ליקויים" </w:t>
      </w:r>
      <w:r w:rsidR="007879F4">
        <w:rPr>
          <w:rStyle w:val="default"/>
          <w:rFonts w:cs="FrankRuehl" w:hint="cs"/>
          <w:rtl/>
        </w:rPr>
        <w:t>-</w:t>
      </w:r>
      <w:r>
        <w:rPr>
          <w:rStyle w:val="default"/>
          <w:rFonts w:cs="FrankRuehl" w:hint="cs"/>
          <w:rtl/>
        </w:rPr>
        <w:t xml:space="preserve"> הליקויים, הפגימות והמחלות המפורטים בחלקים א' ו-ב' של התוספת הראשונה;</w:t>
      </w:r>
    </w:p>
    <w:p w:rsidR="00D41905" w:rsidRDefault="00D41905" w:rsidP="007879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w:t>
      </w:r>
      <w:r w:rsidR="007879F4">
        <w:rPr>
          <w:rStyle w:val="default"/>
          <w:rFonts w:cs="FrankRuehl" w:hint="cs"/>
          <w:rtl/>
        </w:rPr>
        <w:t>-</w:t>
      </w:r>
      <w:r>
        <w:rPr>
          <w:rStyle w:val="default"/>
          <w:rFonts w:cs="FrankRuehl" w:hint="cs"/>
          <w:rtl/>
        </w:rPr>
        <w:t xml:space="preserve"> ועדה רפואית הפועלת במפקדת קרפ"ר והמוסמכת לקבוע את דרגת נכותם של זכאים לקיצבת פרישה;</w:t>
      </w:r>
    </w:p>
    <w:p w:rsidR="00D41905" w:rsidRDefault="00D41905" w:rsidP="007879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פונה" </w:t>
      </w:r>
      <w:r w:rsidR="007879F4">
        <w:rPr>
          <w:rStyle w:val="default"/>
          <w:rFonts w:cs="FrankRuehl" w:hint="cs"/>
          <w:rtl/>
        </w:rPr>
        <w:t>-</w:t>
      </w:r>
      <w:r>
        <w:rPr>
          <w:rStyle w:val="default"/>
          <w:rFonts w:cs="FrankRuehl" w:hint="cs"/>
          <w:rtl/>
        </w:rPr>
        <w:t xml:space="preserve"> חייל בשירות קבע או זכאי לקיצבת פרישה אשר הופנה</w:t>
      </w:r>
      <w:r>
        <w:rPr>
          <w:rStyle w:val="default"/>
          <w:rFonts w:cs="FrankRuehl"/>
          <w:rtl/>
        </w:rPr>
        <w:t xml:space="preserve"> </w:t>
      </w:r>
      <w:r>
        <w:rPr>
          <w:rStyle w:val="default"/>
          <w:rFonts w:cs="FrankRuehl" w:hint="cs"/>
          <w:rtl/>
        </w:rPr>
        <w:t>לועדה על ידי גורם מזמן;</w:t>
      </w:r>
    </w:p>
    <w:p w:rsidR="00D41905" w:rsidRDefault="00D41905" w:rsidP="007879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גורם מזמן" </w:t>
      </w:r>
      <w:r w:rsidR="007879F4">
        <w:rPr>
          <w:rStyle w:val="default"/>
          <w:rFonts w:cs="FrankRuehl" w:hint="cs"/>
          <w:rtl/>
        </w:rPr>
        <w:t>-</w:t>
      </w:r>
      <w:r>
        <w:rPr>
          <w:rStyle w:val="default"/>
          <w:rFonts w:cs="FrankRuehl" w:hint="cs"/>
          <w:rtl/>
        </w:rPr>
        <w:t xml:space="preserve"> הממונה על מחלקת גימלאות, מחלקת פרישה במינהל הסגל או מחלקת פרט באגף כח אדם של צבא-הגנה לישראל;</w:t>
      </w:r>
    </w:p>
    <w:p w:rsidR="00D41905" w:rsidRDefault="00D41905" w:rsidP="007879F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פוסק רפואי" </w:t>
      </w:r>
      <w:r w:rsidR="007879F4">
        <w:rPr>
          <w:rStyle w:val="default"/>
          <w:rFonts w:cs="FrankRuehl" w:hint="cs"/>
          <w:rtl/>
        </w:rPr>
        <w:t>-</w:t>
      </w:r>
      <w:r>
        <w:rPr>
          <w:rStyle w:val="default"/>
          <w:rFonts w:cs="FrankRuehl" w:hint="cs"/>
          <w:rtl/>
        </w:rPr>
        <w:t xml:space="preserve"> רופא המשרת בצבא-הגנה לישראל או עובד בשירות או בשליחותו ששמו כלול ברשימת הפוסקים הרפואיים שקבע שר הבטחון או</w:t>
      </w:r>
      <w:r>
        <w:rPr>
          <w:rStyle w:val="default"/>
          <w:rFonts w:cs="FrankRuehl"/>
          <w:rtl/>
        </w:rPr>
        <w:t xml:space="preserve"> </w:t>
      </w:r>
      <w:r>
        <w:rPr>
          <w:rStyle w:val="default"/>
          <w:rFonts w:cs="FrankRuehl" w:hint="cs"/>
          <w:rtl/>
        </w:rPr>
        <w:t>מי שהוא הסמיכו לכך; הרשימה תהיה מצויה בידי ראש לשכת קרפ"ר.</w:t>
      </w:r>
    </w:p>
    <w:p w:rsidR="00D41905" w:rsidRDefault="00D41905">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הועדה וההליכים הקשורים בעבודתה</w:t>
      </w:r>
    </w:p>
    <w:p w:rsidR="00D41905" w:rsidRDefault="00D41905">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9.05pt;z-index:251647488"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ק</w:t>
                  </w:r>
                  <w:r>
                    <w:rPr>
                      <w:rFonts w:cs="Miriam" w:hint="cs"/>
                      <w:szCs w:val="18"/>
                      <w:rtl/>
                    </w:rPr>
                    <w:t>ביעת דרגת</w:t>
                  </w:r>
                  <w:r w:rsidR="007879F4">
                    <w:rPr>
                      <w:rFonts w:cs="Miriam" w:hint="cs"/>
                      <w:szCs w:val="18"/>
                      <w:rtl/>
                    </w:rPr>
                    <w:t xml:space="preserve"> </w:t>
                  </w:r>
                  <w:r>
                    <w:rPr>
                      <w:rFonts w:cs="Miriam"/>
                      <w:szCs w:val="18"/>
                      <w:rtl/>
                    </w:rPr>
                    <w:t>נ</w:t>
                  </w:r>
                  <w:r>
                    <w:rPr>
                      <w:rFonts w:cs="Miriam" w:hint="cs"/>
                      <w:szCs w:val="18"/>
                      <w:rtl/>
                    </w:rPr>
                    <w:t>כות בידי ועדה</w:t>
                  </w:r>
                </w:p>
              </w:txbxContent>
            </v:textbox>
            <w10:anchorlock/>
          </v:rect>
        </w:pict>
      </w:r>
      <w:r>
        <w:rPr>
          <w:rStyle w:val="big-number"/>
          <w:rtl/>
        </w:rPr>
        <w:t>2.</w:t>
      </w:r>
      <w:r>
        <w:rPr>
          <w:rStyle w:val="big-number"/>
          <w:rtl/>
        </w:rPr>
        <w:tab/>
      </w:r>
      <w:r>
        <w:rPr>
          <w:rStyle w:val="default"/>
          <w:rFonts w:cs="FrankRuehl"/>
          <w:rtl/>
        </w:rPr>
        <w:t>ד</w:t>
      </w:r>
      <w:r>
        <w:rPr>
          <w:rStyle w:val="default"/>
          <w:rFonts w:cs="FrankRuehl" w:hint="cs"/>
          <w:rtl/>
        </w:rPr>
        <w:t>רגת נכות של פונה תיקבע על ידי ועדה אשר ירכיב אותה קרפ"ר, ובה שלושה פוסקים רפואיים שאחד מהם יהיה היושב ראש.</w:t>
      </w:r>
    </w:p>
    <w:p w:rsidR="00D41905" w:rsidRDefault="00D41905">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9.75pt;z-index:251648512"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ה</w:t>
                  </w:r>
                  <w:r>
                    <w:rPr>
                      <w:rFonts w:cs="Miriam" w:hint="cs"/>
                      <w:szCs w:val="18"/>
                      <w:rtl/>
                    </w:rPr>
                    <w:t>מועד והמקום</w:t>
                  </w:r>
                  <w:r w:rsidR="007879F4">
                    <w:rPr>
                      <w:rFonts w:cs="Miriam" w:hint="cs"/>
                      <w:szCs w:val="18"/>
                      <w:rtl/>
                    </w:rPr>
                    <w:t xml:space="preserve"> </w:t>
                  </w:r>
                  <w:r>
                    <w:rPr>
                      <w:rFonts w:cs="Miriam"/>
                      <w:szCs w:val="18"/>
                      <w:rtl/>
                    </w:rPr>
                    <w:t>ל</w:t>
                  </w:r>
                  <w:r>
                    <w:rPr>
                      <w:rFonts w:cs="Miriam" w:hint="cs"/>
                      <w:szCs w:val="18"/>
                      <w:rtl/>
                    </w:rPr>
                    <w:t>בדי</w:t>
                  </w:r>
                  <w:r>
                    <w:rPr>
                      <w:rFonts w:cs="Miriam"/>
                      <w:szCs w:val="18"/>
                      <w:rtl/>
                    </w:rPr>
                    <w:t>ק</w:t>
                  </w:r>
                  <w:r>
                    <w:rPr>
                      <w:rFonts w:cs="Miriam" w:hint="cs"/>
                      <w:szCs w:val="18"/>
                      <w:rtl/>
                    </w:rPr>
                    <w:t>ת הפונה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זימון הפונה לועדה ייעשה בכתב על ידי הגורם המזמן תוך ציון המקום ומועד הבדיקה.</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ההזמנה תישלח בדואר רשום, 14 ימים לפחות לפני המועד שנקבע לבדיקה אלא אם כן הסכים הפונה להתייצב לבדיקה אף ללא הזמנה כאמור או תוך זמן קצר מזה.</w:t>
      </w:r>
    </w:p>
    <w:p w:rsidR="00D41905" w:rsidRDefault="00D41905">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3.2pt;z-index:251649536"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ה</w:t>
                  </w:r>
                  <w:r>
                    <w:rPr>
                      <w:rFonts w:cs="Miriam" w:hint="cs"/>
                      <w:szCs w:val="18"/>
                      <w:rtl/>
                    </w:rPr>
                    <w:t>מצאת מסמכים</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פונה יתייצב בפני הועדה ויביא עמו את כל המסמכים הרפואיים הנוגעים לו, הנמצאים ברשותו, ומסמכים נוספים שתדרוש ממנו הועדה, וכן כתב ויתור על סודיות, לפי הדוגמה שבתוספת השניה.</w:t>
      </w:r>
    </w:p>
    <w:p w:rsidR="00D41905" w:rsidRDefault="00D41905">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2.1pt;z-index:251650560"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ב</w:t>
                  </w:r>
                  <w:r>
                    <w:rPr>
                      <w:rFonts w:cs="Miriam" w:hint="cs"/>
                      <w:szCs w:val="18"/>
                      <w:rtl/>
                    </w:rPr>
                    <w:t>דיקה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רשאית לבדוק את הפונה בכל דרך שתמצא</w:t>
      </w:r>
      <w:r>
        <w:rPr>
          <w:rStyle w:val="default"/>
          <w:rFonts w:cs="FrankRuehl"/>
          <w:rtl/>
        </w:rPr>
        <w:t xml:space="preserve"> </w:t>
      </w:r>
      <w:r>
        <w:rPr>
          <w:rStyle w:val="default"/>
          <w:rFonts w:cs="FrankRuehl" w:hint="cs"/>
          <w:rtl/>
        </w:rPr>
        <w:t>לנחוץ, לרבות בדיקה על ידי רופאים שאינם חברי הועדה בהתאם לתקנה 19, בדיקת מעבדה, הסתכלות בבית חולים וכיוצא באלה.</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לקבל חוות דעת של מומחה בכל ענין רפואי הנוגע לפונה.</w:t>
      </w:r>
    </w:p>
    <w:p w:rsidR="00D41905" w:rsidRDefault="00D41905">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32pt;z-index:251651584"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א</w:t>
                  </w:r>
                  <w:r>
                    <w:rPr>
                      <w:rFonts w:cs="Miriam" w:hint="cs"/>
                      <w:szCs w:val="18"/>
                      <w:rtl/>
                    </w:rPr>
                    <w:t>י-התיי</w:t>
                  </w:r>
                  <w:r>
                    <w:rPr>
                      <w:rFonts w:cs="Miriam"/>
                      <w:szCs w:val="18"/>
                      <w:rtl/>
                    </w:rPr>
                    <w:t>צ</w:t>
                  </w:r>
                  <w:r>
                    <w:rPr>
                      <w:rFonts w:cs="Miriam" w:hint="cs"/>
                      <w:szCs w:val="18"/>
                      <w:rtl/>
                    </w:rPr>
                    <w:t>בות</w:t>
                  </w:r>
                  <w:r w:rsidR="007879F4">
                    <w:rPr>
                      <w:rFonts w:cs="Miriam" w:hint="cs"/>
                      <w:szCs w:val="18"/>
                      <w:rtl/>
                    </w:rPr>
                    <w:t xml:space="preserve"> </w:t>
                  </w:r>
                  <w:r>
                    <w:rPr>
                      <w:rFonts w:cs="Miriam"/>
                      <w:szCs w:val="18"/>
                      <w:rtl/>
                    </w:rPr>
                    <w:t>א</w:t>
                  </w:r>
                  <w:r>
                    <w:rPr>
                      <w:rFonts w:cs="Miriam" w:hint="cs"/>
                      <w:szCs w:val="18"/>
                      <w:rtl/>
                    </w:rPr>
                    <w:t xml:space="preserve">ו </w:t>
                  </w:r>
                  <w:r w:rsidR="007879F4">
                    <w:rPr>
                      <w:rFonts w:cs="Miriam"/>
                      <w:szCs w:val="18"/>
                      <w:rtl/>
                    </w:rPr>
                    <w:br/>
                  </w:r>
                  <w:r>
                    <w:rPr>
                      <w:rFonts w:cs="Miriam" w:hint="cs"/>
                      <w:szCs w:val="18"/>
                      <w:rtl/>
                    </w:rPr>
                    <w:t>אי-מילוי</w:t>
                  </w:r>
                  <w:r w:rsidR="007879F4">
                    <w:rPr>
                      <w:rFonts w:cs="Miriam" w:hint="cs"/>
                      <w:szCs w:val="18"/>
                      <w:rtl/>
                    </w:rPr>
                    <w:t xml:space="preserve"> </w:t>
                  </w:r>
                  <w:r>
                    <w:rPr>
                      <w:rFonts w:cs="Miriam"/>
                      <w:szCs w:val="18"/>
                      <w:rtl/>
                    </w:rPr>
                    <w:t>א</w:t>
                  </w:r>
                  <w:r>
                    <w:rPr>
                      <w:rFonts w:cs="Miriam" w:hint="cs"/>
                      <w:szCs w:val="18"/>
                      <w:rtl/>
                    </w:rPr>
                    <w:t>חרי הוראות</w:t>
                  </w:r>
                  <w:r w:rsidR="007879F4">
                    <w:rPr>
                      <w:rFonts w:cs="Miriam" w:hint="cs"/>
                      <w:noProof/>
                      <w:szCs w:val="18"/>
                      <w:rtl/>
                    </w:rPr>
                    <w:t xml:space="preserve"> </w:t>
                  </w:r>
                  <w:r>
                    <w:rPr>
                      <w:rFonts w:cs="Miriam"/>
                      <w:szCs w:val="18"/>
                      <w:rtl/>
                    </w:rPr>
                    <w:t>ה</w:t>
                  </w:r>
                  <w:r>
                    <w:rPr>
                      <w:rFonts w:cs="Miriam" w:hint="cs"/>
                      <w:szCs w:val="18"/>
                      <w:rtl/>
                    </w:rPr>
                    <w:t>ועדה</w:t>
                  </w:r>
                </w:p>
              </w:txbxContent>
            </v:textbox>
            <w10:anchorlock/>
          </v:rect>
        </w:pict>
      </w:r>
      <w:r>
        <w:rPr>
          <w:rStyle w:val="big-number"/>
          <w:rtl/>
        </w:rPr>
        <w:t>6.</w:t>
      </w:r>
      <w:r>
        <w:rPr>
          <w:rStyle w:val="big-number"/>
          <w:rtl/>
        </w:rPr>
        <w:tab/>
      </w:r>
      <w:r>
        <w:rPr>
          <w:rStyle w:val="default"/>
          <w:rFonts w:cs="FrankRuehl"/>
          <w:rtl/>
        </w:rPr>
        <w:t>פ</w:t>
      </w:r>
      <w:r>
        <w:rPr>
          <w:rStyle w:val="default"/>
          <w:rFonts w:cs="FrankRuehl" w:hint="cs"/>
          <w:rtl/>
        </w:rPr>
        <w:t xml:space="preserve">ונה שלא התייצב בפני הוועדה </w:t>
      </w:r>
      <w:r>
        <w:rPr>
          <w:rStyle w:val="default"/>
          <w:rFonts w:cs="FrankRuehl"/>
          <w:rtl/>
        </w:rPr>
        <w:t>ב</w:t>
      </w:r>
      <w:r>
        <w:rPr>
          <w:rStyle w:val="default"/>
          <w:rFonts w:cs="FrankRuehl" w:hint="cs"/>
          <w:rtl/>
        </w:rPr>
        <w:t>מועד שנקבע לו מבלי להודיע על כך מראש לגורם המזמן או מבלי שנתן סיבה מוצדקת לכך או שלא מילא אחר הוראות הועדה שניתנו לענין קביעת דרגת הנכות, יראו אותו כאילו ויתר על זכותו לעמוד בפני הועדה.</w:t>
      </w:r>
    </w:p>
    <w:p w:rsidR="00D41905" w:rsidRDefault="00D41905">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2.8pt;z-index:251652608"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ב</w:t>
                  </w:r>
                  <w:r>
                    <w:rPr>
                      <w:rFonts w:cs="Miriam" w:hint="cs"/>
                      <w:szCs w:val="18"/>
                      <w:rtl/>
                    </w:rPr>
                    <w:t>דיקה במקום</w:t>
                  </w:r>
                  <w:r w:rsidR="007879F4">
                    <w:rPr>
                      <w:rFonts w:cs="Miriam" w:hint="cs"/>
                      <w:szCs w:val="18"/>
                      <w:rtl/>
                    </w:rPr>
                    <w:t xml:space="preserve"> </w:t>
                  </w:r>
                  <w:r>
                    <w:rPr>
                      <w:rFonts w:cs="Miriam"/>
                      <w:szCs w:val="18"/>
                      <w:rtl/>
                    </w:rPr>
                    <w:t>ה</w:t>
                  </w:r>
                  <w:r>
                    <w:rPr>
                      <w:rFonts w:cs="Miriam" w:hint="cs"/>
                      <w:szCs w:val="18"/>
                      <w:rtl/>
                    </w:rPr>
                    <w:t>ימצא הפונה</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חליטה הוועדה כי נבצר מהפונה, בשל מצב ב</w:t>
      </w:r>
      <w:r>
        <w:rPr>
          <w:rStyle w:val="default"/>
          <w:rFonts w:cs="FrankRuehl"/>
          <w:rtl/>
        </w:rPr>
        <w:t>ר</w:t>
      </w:r>
      <w:r>
        <w:rPr>
          <w:rStyle w:val="default"/>
          <w:rFonts w:cs="FrankRuehl" w:hint="cs"/>
          <w:rtl/>
        </w:rPr>
        <w:t>יאותו, להתייצב לבדיקה בפניה במקום מושבה הקבוע, תבדוק את הפונה במקום הימצאו.</w:t>
      </w:r>
    </w:p>
    <w:p w:rsidR="00D41905" w:rsidRDefault="00D41905">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24pt;z-index:251653632"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ק</w:t>
                  </w:r>
                  <w:r>
                    <w:rPr>
                      <w:rFonts w:cs="Miriam" w:hint="cs"/>
                      <w:szCs w:val="18"/>
                      <w:rtl/>
                    </w:rPr>
                    <w:t>ביעת דר</w:t>
                  </w:r>
                  <w:r>
                    <w:rPr>
                      <w:rFonts w:cs="Miriam"/>
                      <w:szCs w:val="18"/>
                      <w:rtl/>
                    </w:rPr>
                    <w:t>ג</w:t>
                  </w:r>
                  <w:r>
                    <w:rPr>
                      <w:rFonts w:cs="Miriam" w:hint="cs"/>
                      <w:szCs w:val="18"/>
                      <w:rtl/>
                    </w:rPr>
                    <w:t>ת</w:t>
                  </w:r>
                  <w:r w:rsidR="007879F4">
                    <w:rPr>
                      <w:rFonts w:cs="Miriam" w:hint="cs"/>
                      <w:szCs w:val="18"/>
                      <w:rtl/>
                    </w:rPr>
                    <w:t xml:space="preserve"> </w:t>
                  </w:r>
                  <w:r>
                    <w:rPr>
                      <w:rFonts w:cs="Miriam"/>
                      <w:szCs w:val="18"/>
                      <w:rtl/>
                    </w:rPr>
                    <w:t>נ</w:t>
                  </w:r>
                  <w:r>
                    <w:rPr>
                      <w:rFonts w:cs="Miriam" w:hint="cs"/>
                      <w:szCs w:val="18"/>
                      <w:rtl/>
                    </w:rPr>
                    <w:t>כות על סמך</w:t>
                  </w:r>
                  <w:r w:rsidR="007879F4">
                    <w:rPr>
                      <w:rFonts w:cs="Miriam" w:hint="cs"/>
                      <w:noProof/>
                      <w:szCs w:val="18"/>
                      <w:rtl/>
                    </w:rPr>
                    <w:t xml:space="preserve"> </w:t>
                  </w:r>
                  <w:r>
                    <w:rPr>
                      <w:rFonts w:cs="Miriam"/>
                      <w:szCs w:val="18"/>
                      <w:rtl/>
                    </w:rPr>
                    <w:t>מ</w:t>
                  </w:r>
                  <w:r>
                    <w:rPr>
                      <w:rFonts w:cs="Miriam" w:hint="cs"/>
                      <w:szCs w:val="18"/>
                      <w:rtl/>
                    </w:rPr>
                    <w:t>סמכים</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ועדה רשאית לקבוע את דרגת נכותו של פונה על סמך מסמכים רפואיים בלבד ומבלי לבדקו, אם הפונה לא התייצב בפני הועדה במועד שנקבע לו או שלא מילא אחר הו</w:t>
      </w:r>
      <w:r>
        <w:rPr>
          <w:rStyle w:val="default"/>
          <w:rFonts w:cs="FrankRuehl"/>
          <w:rtl/>
        </w:rPr>
        <w:t>ר</w:t>
      </w:r>
      <w:r>
        <w:rPr>
          <w:rStyle w:val="default"/>
          <w:rFonts w:cs="FrankRuehl" w:hint="cs"/>
          <w:rtl/>
        </w:rPr>
        <w:t>אות הועדה שניתנו לענין קביעת דרגת הנכות.</w:t>
      </w:r>
    </w:p>
    <w:p w:rsidR="00D41905" w:rsidRDefault="00D41905">
      <w:pPr>
        <w:pStyle w:val="P00"/>
        <w:spacing w:before="72"/>
        <w:ind w:left="0" w:right="1134"/>
        <w:rPr>
          <w:rStyle w:val="default"/>
          <w:rFonts w:cs="FrankRuehl"/>
          <w:rtl/>
        </w:rPr>
      </w:pPr>
      <w:bookmarkStart w:id="10" w:name="Seif9"/>
      <w:bookmarkEnd w:id="10"/>
      <w:r>
        <w:rPr>
          <w:lang w:val="he-IL"/>
        </w:rPr>
        <w:lastRenderedPageBreak/>
        <w:pict>
          <v:rect id="_x0000_s1034" style="position:absolute;left:0;text-align:left;margin-left:464.5pt;margin-top:8.05pt;width:75.05pt;height:22.35pt;z-index:251654656"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נ</w:t>
                  </w:r>
                  <w:r>
                    <w:rPr>
                      <w:rFonts w:cs="Miriam" w:hint="cs"/>
                      <w:szCs w:val="18"/>
                      <w:rtl/>
                    </w:rPr>
                    <w:t>וכח</w:t>
                  </w:r>
                  <w:r>
                    <w:rPr>
                      <w:rFonts w:cs="Miriam"/>
                      <w:szCs w:val="18"/>
                      <w:rtl/>
                    </w:rPr>
                    <w:t>ו</w:t>
                  </w:r>
                  <w:r>
                    <w:rPr>
                      <w:rFonts w:cs="Miriam" w:hint="cs"/>
                      <w:szCs w:val="18"/>
                      <w:rtl/>
                    </w:rPr>
                    <w:t>ת זרים</w:t>
                  </w:r>
                  <w:r w:rsidR="007879F4">
                    <w:rPr>
                      <w:rFonts w:cs="Miriam" w:hint="cs"/>
                      <w:szCs w:val="18"/>
                      <w:rtl/>
                    </w:rPr>
                    <w:t xml:space="preserve"> </w:t>
                  </w:r>
                  <w:r>
                    <w:rPr>
                      <w:rFonts w:cs="Miriam"/>
                      <w:szCs w:val="18"/>
                      <w:rtl/>
                    </w:rPr>
                    <w:t>ב</w:t>
                  </w:r>
                  <w:r>
                    <w:rPr>
                      <w:rFonts w:cs="Miriam" w:hint="cs"/>
                      <w:szCs w:val="18"/>
                      <w:rtl/>
                    </w:rPr>
                    <w:t>שעת בדיקה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ועדה או רופא הבודק את הפונה בהתאם לתקנה 19 יבדקו את הפונה ביחידות; אך רשאים הם להתיר לזולת להיות נוכח בשעת הבדיקה, אם הסכים לכך הפונה.</w:t>
      </w:r>
    </w:p>
    <w:p w:rsidR="00D41905" w:rsidRDefault="00D41905">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23.05pt;z-index:251655680"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ח</w:t>
                  </w:r>
                  <w:r>
                    <w:rPr>
                      <w:rFonts w:cs="Miriam" w:hint="cs"/>
                      <w:szCs w:val="18"/>
                      <w:rtl/>
                    </w:rPr>
                    <w:t>ילוקי דעות</w:t>
                  </w:r>
                  <w:r w:rsidR="007879F4">
                    <w:rPr>
                      <w:rFonts w:cs="Miriam" w:hint="cs"/>
                      <w:szCs w:val="18"/>
                      <w:rtl/>
                    </w:rPr>
                    <w:t xml:space="preserve"> </w:t>
                  </w:r>
                  <w:r>
                    <w:rPr>
                      <w:rFonts w:cs="Miriam"/>
                      <w:szCs w:val="18"/>
                      <w:rtl/>
                    </w:rPr>
                    <w:t>ב</w:t>
                  </w:r>
                  <w:r>
                    <w:rPr>
                      <w:rFonts w:cs="Miriam" w:hint="cs"/>
                      <w:szCs w:val="18"/>
                      <w:rtl/>
                    </w:rPr>
                    <w:t>ין חברי הועדה</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חלטת הועדה תתק</w:t>
      </w:r>
      <w:r>
        <w:rPr>
          <w:rStyle w:val="default"/>
          <w:rFonts w:cs="FrankRuehl"/>
          <w:rtl/>
        </w:rPr>
        <w:t>ב</w:t>
      </w:r>
      <w:r>
        <w:rPr>
          <w:rStyle w:val="default"/>
          <w:rFonts w:cs="FrankRuehl" w:hint="cs"/>
          <w:rtl/>
        </w:rPr>
        <w:t>ל ברוב דעות ובאין רוב דעות, תכריע דעתו של יושב ראש הוועדה.</w:t>
      </w:r>
    </w:p>
    <w:p w:rsidR="00D41905" w:rsidRDefault="00D41905">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9.9pt;z-index:251656704"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ה</w:t>
                  </w:r>
                  <w:r>
                    <w:rPr>
                      <w:rFonts w:cs="Miriam" w:hint="cs"/>
                      <w:szCs w:val="18"/>
                      <w:rtl/>
                    </w:rPr>
                    <w:t>חלטת הועדה</w:t>
                  </w:r>
                  <w:r w:rsidR="007879F4">
                    <w:rPr>
                      <w:rFonts w:cs="Miriam" w:hint="cs"/>
                      <w:szCs w:val="18"/>
                      <w:rtl/>
                    </w:rPr>
                    <w:t xml:space="preserve"> </w:t>
                  </w:r>
                  <w:r>
                    <w:rPr>
                      <w:rFonts w:cs="Miriam"/>
                      <w:szCs w:val="18"/>
                      <w:rtl/>
                    </w:rPr>
                    <w:t>ו</w:t>
                  </w:r>
                  <w:r>
                    <w:rPr>
                      <w:rFonts w:cs="Miriam" w:hint="cs"/>
                      <w:szCs w:val="18"/>
                      <w:rtl/>
                    </w:rPr>
                    <w:t>רישומה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דיוני הועדה יירשמו בפרוטוקול אשר ייחתם בידי חברי הועדה.</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 הועדה הקובעת דרגת נכות תהיה בכתב ויצורפו אליה הממצאים והנימוקים.</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החלטת הועדה תימסר לגורם המזמ</w:t>
      </w:r>
      <w:r>
        <w:rPr>
          <w:rStyle w:val="default"/>
          <w:rFonts w:cs="FrankRuehl"/>
          <w:rtl/>
        </w:rPr>
        <w:t>ן</w:t>
      </w:r>
      <w:r>
        <w:rPr>
          <w:rStyle w:val="default"/>
          <w:rFonts w:cs="FrankRuehl" w:hint="cs"/>
          <w:rtl/>
        </w:rPr>
        <w:t>.</w:t>
      </w:r>
    </w:p>
    <w:p w:rsidR="00D41905" w:rsidRDefault="00D41905">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11.6pt;z-index:251657728"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ה</w:t>
                  </w:r>
                  <w:r>
                    <w:rPr>
                      <w:rFonts w:cs="Miriam" w:hint="cs"/>
                      <w:szCs w:val="18"/>
                      <w:rtl/>
                    </w:rPr>
                    <w:t>ודעה לפונה</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גורם המזמן יודיע לפונה בכתב על החלטת הועדה ולפי בקשתו ימציא לו העתק מהחלטת הועדה, ממצאיה ונימוקיה, אלא אם כן החליטה הועדה שאין להביא החלטה לידיעת הפונה עצמו כי אם לידיעת בא כוחו או אדם אחר המייצגו.</w:t>
      </w:r>
    </w:p>
    <w:p w:rsidR="00D41905" w:rsidRDefault="00D41905">
      <w:pPr>
        <w:pStyle w:val="medium2-header"/>
        <w:keepLines w:val="0"/>
        <w:spacing w:before="72"/>
        <w:ind w:left="0" w:right="1134"/>
        <w:rPr>
          <w:noProof/>
          <w:sz w:val="20"/>
          <w:rtl/>
        </w:rPr>
      </w:pPr>
      <w:bookmarkStart w:id="14" w:name="med2"/>
      <w:bookmarkEnd w:id="14"/>
      <w:r>
        <w:rPr>
          <w:noProof/>
          <w:sz w:val="20"/>
          <w:rtl/>
        </w:rPr>
        <w:t>פ</w:t>
      </w:r>
      <w:r>
        <w:rPr>
          <w:rFonts w:hint="cs"/>
          <w:noProof/>
          <w:sz w:val="20"/>
          <w:rtl/>
        </w:rPr>
        <w:t xml:space="preserve">רק ג': </w:t>
      </w:r>
      <w:r>
        <w:rPr>
          <w:noProof/>
          <w:sz w:val="20"/>
          <w:rtl/>
        </w:rPr>
        <w:t>ק</w:t>
      </w:r>
      <w:r>
        <w:rPr>
          <w:rFonts w:hint="cs"/>
          <w:noProof/>
          <w:sz w:val="20"/>
          <w:rtl/>
        </w:rPr>
        <w:t>ביעת דרגת נכות</w:t>
      </w:r>
    </w:p>
    <w:p w:rsidR="00D41905" w:rsidRDefault="00D41905">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11.7pt;z-index:251658752"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ד</w:t>
                  </w:r>
                  <w:r>
                    <w:rPr>
                      <w:rFonts w:cs="Miriam" w:hint="cs"/>
                      <w:szCs w:val="18"/>
                      <w:rtl/>
                    </w:rPr>
                    <w:t>רגת נכות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דרגת נכות של הפונה תיקבע בהתאם לאחוז הנקוב לצד כל אחד מהליקויים ובהתחשב באמור במבחנים שבחלק ג' של התוספת הראשונה.</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תקבע את דרגת נכותו של הפונה על פי הליקויים אשר ארעו או הוחמרו בזמן שירותו של הפונה בצבא הגנה ל</w:t>
      </w:r>
      <w:r>
        <w:rPr>
          <w:rStyle w:val="default"/>
          <w:rFonts w:cs="FrankRuehl"/>
          <w:rtl/>
        </w:rPr>
        <w:t>י</w:t>
      </w:r>
      <w:r>
        <w:rPr>
          <w:rStyle w:val="default"/>
          <w:rFonts w:cs="FrankRuehl" w:hint="cs"/>
          <w:rtl/>
        </w:rPr>
        <w:t>שראל.</w:t>
      </w:r>
    </w:p>
    <w:p w:rsidR="00D41905" w:rsidRDefault="00D41905" w:rsidP="007879F4">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21.95pt;z-index:251659776"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ק</w:t>
                  </w:r>
                  <w:r>
                    <w:rPr>
                      <w:rFonts w:cs="Miriam" w:hint="cs"/>
                      <w:szCs w:val="18"/>
                      <w:rtl/>
                    </w:rPr>
                    <w:t>ביעת דרגת</w:t>
                  </w:r>
                  <w:r w:rsidR="007879F4">
                    <w:rPr>
                      <w:rFonts w:cs="Miriam" w:hint="cs"/>
                      <w:szCs w:val="18"/>
                      <w:rtl/>
                    </w:rPr>
                    <w:t xml:space="preserve"> </w:t>
                  </w:r>
                  <w:r>
                    <w:rPr>
                      <w:rFonts w:cs="Miriam"/>
                      <w:szCs w:val="18"/>
                      <w:rtl/>
                    </w:rPr>
                    <w:t>נ</w:t>
                  </w:r>
                  <w:r>
                    <w:rPr>
                      <w:rFonts w:cs="Miriam" w:hint="cs"/>
                      <w:szCs w:val="18"/>
                      <w:rtl/>
                    </w:rPr>
                    <w:t>כות מורכבת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דרגת נכותו של פונה אשר לו מספר ליקויים תיקבע בהתאם לגבוה מבין האחוזים שנקבעו לו בהתאם לתקנה 13 (להלן </w:t>
      </w:r>
      <w:r w:rsidR="007879F4">
        <w:rPr>
          <w:rStyle w:val="default"/>
          <w:rFonts w:cs="FrankRuehl" w:hint="cs"/>
          <w:rtl/>
        </w:rPr>
        <w:t>-</w:t>
      </w:r>
      <w:r>
        <w:rPr>
          <w:rStyle w:val="default"/>
          <w:rFonts w:cs="FrankRuehl" w:hint="cs"/>
          <w:rtl/>
        </w:rPr>
        <w:t xml:space="preserve"> האחוז הראשון), בתוספת אחוזים כמפורט להלן:</w:t>
      </w:r>
    </w:p>
    <w:p w:rsidR="00D41905" w:rsidRDefault="00D4190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האחוז השני שנקבע לו כפול ביתרת האחוזים המתקבלת לאחר הפחתת האחוז הר</w:t>
      </w:r>
      <w:r>
        <w:rPr>
          <w:rStyle w:val="default"/>
          <w:rFonts w:cs="FrankRuehl"/>
          <w:rtl/>
        </w:rPr>
        <w:t>א</w:t>
      </w:r>
      <w:r>
        <w:rPr>
          <w:rStyle w:val="default"/>
          <w:rFonts w:cs="FrankRuehl" w:hint="cs"/>
          <w:rtl/>
        </w:rPr>
        <w:t>שון מ-100%.</w:t>
      </w:r>
    </w:p>
    <w:p w:rsidR="00D41905" w:rsidRDefault="00D4190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האחוז השלישי שנקבע לו כפול ביתרת האחוזים המתקבלת לאחר הפחתת האחוז הראשון והשני מ-100% וכן הלאה.</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נקבעה דרגת נכות מורכבת בשבר אחרי השלם, יעוגל השבר כלפי מעלה.</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עקב ליקוי נוסף באותו איבר לא תוגדל דרגת הנכות מעל לדרגת הנכות המרבית שנק</w:t>
      </w:r>
      <w:r>
        <w:rPr>
          <w:rStyle w:val="default"/>
          <w:rFonts w:cs="FrankRuehl"/>
          <w:rtl/>
        </w:rPr>
        <w:t>ב</w:t>
      </w:r>
      <w:r>
        <w:rPr>
          <w:rStyle w:val="default"/>
          <w:rFonts w:cs="FrankRuehl" w:hint="cs"/>
          <w:rtl/>
        </w:rPr>
        <w:t>עה ברשימת הליקויים לגבי אותו איבר.</w:t>
      </w:r>
    </w:p>
    <w:p w:rsidR="00D41905" w:rsidRDefault="00D41905">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24pt;z-index:251660800"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ק</w:t>
                  </w:r>
                  <w:r>
                    <w:rPr>
                      <w:rFonts w:cs="Miriam" w:hint="cs"/>
                      <w:szCs w:val="18"/>
                      <w:rtl/>
                    </w:rPr>
                    <w:t>ביעת דרגת</w:t>
                  </w:r>
                  <w:r w:rsidR="007879F4">
                    <w:rPr>
                      <w:rFonts w:cs="Miriam" w:hint="cs"/>
                      <w:szCs w:val="18"/>
                      <w:rtl/>
                    </w:rPr>
                    <w:t xml:space="preserve"> </w:t>
                  </w:r>
                  <w:r>
                    <w:rPr>
                      <w:rFonts w:cs="Miriam"/>
                      <w:szCs w:val="18"/>
                      <w:rtl/>
                    </w:rPr>
                    <w:t>נ</w:t>
                  </w:r>
                  <w:r>
                    <w:rPr>
                      <w:rFonts w:cs="Miriam" w:hint="cs"/>
                      <w:szCs w:val="18"/>
                      <w:rtl/>
                    </w:rPr>
                    <w:t>כות מחוץ</w:t>
                  </w:r>
                  <w:r w:rsidR="007879F4">
                    <w:rPr>
                      <w:rFonts w:cs="Miriam" w:hint="cs"/>
                      <w:noProof/>
                      <w:szCs w:val="18"/>
                      <w:rtl/>
                    </w:rPr>
                    <w:t xml:space="preserve"> </w:t>
                  </w:r>
                  <w:r>
                    <w:rPr>
                      <w:rFonts w:cs="Miriam"/>
                      <w:szCs w:val="18"/>
                      <w:rtl/>
                    </w:rPr>
                    <w:t>ל</w:t>
                  </w:r>
                  <w:r>
                    <w:rPr>
                      <w:rFonts w:cs="Miriam" w:hint="cs"/>
                      <w:szCs w:val="18"/>
                      <w:rtl/>
                    </w:rPr>
                    <w:t>מבחנים</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פורט הליקוי ברשימת הליקויים, תיקבע דרגת הנכות לפי הליקוי הדומה לו, לדעת הועדה, מבין הליקויים שנקבעו ברשימת הליקויים.</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להחליט שאין מקום להזדקק להוראות תקנת משנה (</w:t>
      </w:r>
      <w:r>
        <w:rPr>
          <w:rStyle w:val="default"/>
          <w:rFonts w:cs="FrankRuehl"/>
          <w:rtl/>
        </w:rPr>
        <w:t>א</w:t>
      </w:r>
      <w:r>
        <w:rPr>
          <w:rStyle w:val="default"/>
          <w:rFonts w:cs="FrankRuehl" w:hint="cs"/>
          <w:rtl/>
        </w:rPr>
        <w:t>), ומשהחליטה כך תהיה רשאית לקבוע את דרגת הנכות לפי שיקול דעתה בהתחשב במבחנים הקיימים ברשימת הליקויים.</w:t>
      </w:r>
    </w:p>
    <w:p w:rsidR="00D41905" w:rsidRDefault="00D41905">
      <w:pPr>
        <w:pStyle w:val="P00"/>
        <w:spacing w:before="72"/>
        <w:ind w:left="0" w:right="1134"/>
        <w:rPr>
          <w:rStyle w:val="default"/>
          <w:rFonts w:cs="FrankRuehl"/>
          <w:rtl/>
        </w:rPr>
      </w:pPr>
      <w:bookmarkStart w:id="18" w:name="Seif16"/>
      <w:bookmarkEnd w:id="18"/>
      <w:r>
        <w:rPr>
          <w:lang w:val="he-IL"/>
        </w:rPr>
        <w:pict>
          <v:rect id="_x0000_s1041" style="position:absolute;left:0;text-align:left;margin-left:464.5pt;margin-top:8.05pt;width:75.05pt;height:13.4pt;z-index:251661824"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ד</w:t>
                  </w:r>
                  <w:r>
                    <w:rPr>
                      <w:rFonts w:cs="Miriam" w:hint="cs"/>
                      <w:szCs w:val="18"/>
                      <w:rtl/>
                    </w:rPr>
                    <w:t>רגת נכו</w:t>
                  </w:r>
                  <w:r>
                    <w:rPr>
                      <w:rFonts w:cs="Miriam"/>
                      <w:szCs w:val="18"/>
                      <w:rtl/>
                    </w:rPr>
                    <w:t>ת</w:t>
                  </w:r>
                </w:p>
              </w:txbxContent>
            </v:textbox>
            <w10:anchorlock/>
          </v:rect>
        </w:pict>
      </w:r>
      <w:r>
        <w:rPr>
          <w:rStyle w:val="big-number"/>
          <w:rtl/>
        </w:rPr>
        <w:t>16.</w:t>
      </w:r>
      <w:r>
        <w:rPr>
          <w:rStyle w:val="big-number"/>
          <w:rtl/>
        </w:rPr>
        <w:tab/>
      </w:r>
      <w:r>
        <w:rPr>
          <w:rStyle w:val="default"/>
          <w:rFonts w:cs="FrankRuehl"/>
          <w:rtl/>
        </w:rPr>
        <w:t>ד</w:t>
      </w:r>
      <w:r>
        <w:rPr>
          <w:rStyle w:val="default"/>
          <w:rFonts w:cs="FrankRuehl" w:hint="cs"/>
          <w:rtl/>
        </w:rPr>
        <w:t>רגת נכות בשל פגיעה באיבר זוגי אחד כשהאיבר האחד פגום מקודם, תיקבע על ידי צירוף פגימות שני האיברים וניכוי אחוזי הנכות בשל הפגימה הקודמת.</w:t>
      </w:r>
    </w:p>
    <w:p w:rsidR="00D41905" w:rsidRDefault="00D41905">
      <w:pPr>
        <w:pStyle w:val="P00"/>
        <w:spacing w:before="72"/>
        <w:ind w:left="0" w:right="1134"/>
        <w:rPr>
          <w:rStyle w:val="default"/>
          <w:rFonts w:cs="FrankRuehl"/>
          <w:rtl/>
        </w:rPr>
      </w:pPr>
      <w:bookmarkStart w:id="19" w:name="Seif17"/>
      <w:bookmarkEnd w:id="19"/>
      <w:r>
        <w:rPr>
          <w:lang w:val="he-IL"/>
        </w:rPr>
        <w:pict>
          <v:rect id="_x0000_s1042" style="position:absolute;left:0;text-align:left;margin-left:464.5pt;margin-top:8.05pt;width:75.05pt;height:24pt;z-index:251662848"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ש</w:t>
                  </w:r>
                  <w:r>
                    <w:rPr>
                      <w:rFonts w:cs="Miriam" w:hint="cs"/>
                      <w:szCs w:val="18"/>
                      <w:rtl/>
                    </w:rPr>
                    <w:t>יקולים נוספים</w:t>
                  </w:r>
                  <w:r w:rsidR="007879F4">
                    <w:rPr>
                      <w:rFonts w:cs="Miriam" w:hint="cs"/>
                      <w:szCs w:val="18"/>
                      <w:rtl/>
                    </w:rPr>
                    <w:t xml:space="preserve"> </w:t>
                  </w:r>
                  <w:r>
                    <w:rPr>
                      <w:rFonts w:cs="Miriam"/>
                      <w:szCs w:val="18"/>
                      <w:rtl/>
                    </w:rPr>
                    <w:t>ב</w:t>
                  </w:r>
                  <w:r>
                    <w:rPr>
                      <w:rFonts w:cs="Miriam" w:hint="cs"/>
                      <w:szCs w:val="18"/>
                      <w:rtl/>
                    </w:rPr>
                    <w:t>קביעת דרגת</w:t>
                  </w:r>
                  <w:r w:rsidR="007879F4">
                    <w:rPr>
                      <w:rFonts w:cs="Miriam" w:hint="cs"/>
                      <w:szCs w:val="18"/>
                      <w:rtl/>
                    </w:rPr>
                    <w:t xml:space="preserve"> </w:t>
                  </w:r>
                  <w:r>
                    <w:rPr>
                      <w:rFonts w:cs="Miriam"/>
                      <w:szCs w:val="18"/>
                      <w:rtl/>
                    </w:rPr>
                    <w:t>נ</w:t>
                  </w:r>
                  <w:r>
                    <w:rPr>
                      <w:rFonts w:cs="Miriam" w:hint="cs"/>
                      <w:szCs w:val="18"/>
                      <w:rtl/>
                    </w:rPr>
                    <w:t>כות</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רשאית לקבוע דרגת נכות קטנה או גדולה עד מחצית מזו שנקבעה לצד המבחנים שבתוספת הראשונה או לפי שיקול דעתה כאמור בתקנה 15, לפי הענין, בשים לב למקצועו, לגילו ולמינו של הפונה ובלבד שכתו</w:t>
      </w:r>
      <w:r>
        <w:rPr>
          <w:rStyle w:val="default"/>
          <w:rFonts w:cs="FrankRuehl"/>
          <w:rtl/>
        </w:rPr>
        <w:t>צ</w:t>
      </w:r>
      <w:r>
        <w:rPr>
          <w:rStyle w:val="default"/>
          <w:rFonts w:cs="FrankRuehl" w:hint="cs"/>
          <w:rtl/>
        </w:rPr>
        <w:t>אה משינוי זה לא תעלה דרגת הנכות על 100%.</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לקבוע נכותו של פונה בהתחשב במשלח ידו אם, לדעתה, אין הוא מסוגל לחזור לעבודתו או לעיסוקו או שהנכות הביאה לירידה ניכרת של כושר השתכרותו, לזמן בלתי מוגבל.</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לא תתחשב בגילו, במינו ובכושר עבודתו</w:t>
      </w:r>
      <w:r>
        <w:rPr>
          <w:rStyle w:val="default"/>
          <w:rFonts w:cs="FrankRuehl"/>
          <w:rtl/>
        </w:rPr>
        <w:t xml:space="preserve"> </w:t>
      </w:r>
      <w:r>
        <w:rPr>
          <w:rStyle w:val="default"/>
          <w:rFonts w:cs="FrankRuehl" w:hint="cs"/>
          <w:rtl/>
        </w:rPr>
        <w:t>של הפונה אם הם כבר הובאו בחשבון במבחנים שבתוספת הראשונה.</w:t>
      </w:r>
    </w:p>
    <w:p w:rsidR="00D41905" w:rsidRDefault="00D41905">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64.5pt;margin-top:8.05pt;width:75.05pt;height:16pt;z-index:251663872"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ד</w:t>
                  </w:r>
                  <w:r>
                    <w:rPr>
                      <w:rFonts w:cs="Miriam" w:hint="cs"/>
                      <w:szCs w:val="18"/>
                      <w:rtl/>
                    </w:rPr>
                    <w:t>רג</w:t>
                  </w:r>
                  <w:r>
                    <w:rPr>
                      <w:rFonts w:cs="Miriam"/>
                      <w:szCs w:val="18"/>
                      <w:rtl/>
                    </w:rPr>
                    <w:t>ת</w:t>
                  </w:r>
                  <w:r>
                    <w:rPr>
                      <w:rFonts w:cs="Miriam" w:hint="cs"/>
                      <w:szCs w:val="18"/>
                      <w:rtl/>
                    </w:rPr>
                    <w:t xml:space="preserve"> נכות</w:t>
                  </w:r>
                  <w:r w:rsidR="007879F4">
                    <w:rPr>
                      <w:rFonts w:cs="Miriam" w:hint="cs"/>
                      <w:szCs w:val="18"/>
                      <w:rtl/>
                    </w:rPr>
                    <w:t xml:space="preserve"> </w:t>
                  </w:r>
                  <w:r>
                    <w:rPr>
                      <w:rFonts w:cs="Miriam"/>
                      <w:szCs w:val="18"/>
                      <w:rtl/>
                    </w:rPr>
                    <w:t>מ</w:t>
                  </w:r>
                  <w:r>
                    <w:rPr>
                      <w:rFonts w:cs="Miriam" w:hint="cs"/>
                      <w:szCs w:val="18"/>
                      <w:rtl/>
                    </w:rPr>
                    <w:t>יוחדת</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צאה הועדה כי עקב ליקויים נמנע מפונה כל סיכוי לעבוד ודרגת נכותו לפי תקנות 13, 15 ו-16 היא 65% לפחות, רשאית היא לקבוע דרגת נכות של 100%.</w:t>
      </w:r>
    </w:p>
    <w:p w:rsidR="00D41905" w:rsidRDefault="00D41905">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16pt;z-index:251664896" o:allowincell="f" filled="f" stroked="f" strokecolor="lime" strokeweight=".25pt">
            <v:textbox inset="0,0,0,0">
              <w:txbxContent>
                <w:p w:rsidR="00D41905" w:rsidRDefault="00D41905" w:rsidP="007879F4">
                  <w:pPr>
                    <w:spacing w:line="160" w:lineRule="exact"/>
                    <w:jc w:val="left"/>
                    <w:rPr>
                      <w:rFonts w:cs="Miriam"/>
                      <w:noProof/>
                      <w:szCs w:val="18"/>
                      <w:rtl/>
                    </w:rPr>
                  </w:pPr>
                  <w:r>
                    <w:rPr>
                      <w:rFonts w:cs="Miriam"/>
                      <w:szCs w:val="18"/>
                      <w:rtl/>
                    </w:rPr>
                    <w:t>ח</w:t>
                  </w:r>
                  <w:r>
                    <w:rPr>
                      <w:rFonts w:cs="Miriam" w:hint="cs"/>
                      <w:szCs w:val="18"/>
                      <w:rtl/>
                    </w:rPr>
                    <w:t>וות דעת</w:t>
                  </w:r>
                  <w:r w:rsidR="007879F4">
                    <w:rPr>
                      <w:rFonts w:cs="Miriam" w:hint="cs"/>
                      <w:szCs w:val="18"/>
                      <w:rtl/>
                    </w:rPr>
                    <w:t xml:space="preserve"> </w:t>
                  </w:r>
                  <w:r>
                    <w:rPr>
                      <w:rFonts w:cs="Miriam"/>
                      <w:szCs w:val="18"/>
                      <w:rtl/>
                    </w:rPr>
                    <w:t>מ</w:t>
                  </w:r>
                  <w:r>
                    <w:rPr>
                      <w:rFonts w:cs="Miriam" w:hint="cs"/>
                      <w:szCs w:val="18"/>
                      <w:rtl/>
                    </w:rPr>
                    <w:t>יועץ</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לצורך קביעת </w:t>
      </w:r>
      <w:r>
        <w:rPr>
          <w:rStyle w:val="default"/>
          <w:rFonts w:cs="FrankRuehl"/>
          <w:rtl/>
        </w:rPr>
        <w:t>ד</w:t>
      </w:r>
      <w:r>
        <w:rPr>
          <w:rStyle w:val="default"/>
          <w:rFonts w:cs="FrankRuehl" w:hint="cs"/>
          <w:rtl/>
        </w:rPr>
        <w:t>רגת הנכות רשאית הועדה לפנות ליועצים רפואיים, מקרב מוסדות רפואיים הקשורים עם צבא הגנה לישראל, אשר יגישו את חוות דעתם לועדה על סמך מסמכים רפואיים ותוצאות בדיקות רפואיות שהובאו בפניהם.</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החלטה לפי תקנה 17, רשאית הועדה להזקק לחוות דעת בכתב, מיועץ שתמ</w:t>
      </w:r>
      <w:r>
        <w:rPr>
          <w:rStyle w:val="default"/>
          <w:rFonts w:cs="FrankRuehl"/>
          <w:rtl/>
        </w:rPr>
        <w:t>נ</w:t>
      </w:r>
      <w:r>
        <w:rPr>
          <w:rStyle w:val="default"/>
          <w:rFonts w:cs="FrankRuehl" w:hint="cs"/>
          <w:rtl/>
        </w:rPr>
        <w:t>ה, בדבר כושרו של הפונה לעבוד במקצועו או בכל מקצוע מתאים אחר והשפעת נכותו על הכנסותיו מעבודתו.</w:t>
      </w:r>
    </w:p>
    <w:p w:rsidR="00D41905" w:rsidRDefault="00D41905">
      <w:pPr>
        <w:pStyle w:val="P00"/>
        <w:spacing w:before="72"/>
        <w:ind w:left="0" w:right="1134"/>
        <w:rPr>
          <w:rStyle w:val="default"/>
          <w:rFonts w:cs="FrankRuehl"/>
          <w:rtl/>
        </w:rPr>
      </w:pPr>
      <w:bookmarkStart w:id="22" w:name="Seif20"/>
      <w:bookmarkEnd w:id="22"/>
      <w:r>
        <w:rPr>
          <w:lang w:val="he-IL"/>
        </w:rPr>
        <w:pict>
          <v:rect id="_x0000_s1045" style="position:absolute;left:0;text-align:left;margin-left:464.5pt;margin-top:8.05pt;width:75.05pt;height:11.55pt;z-index:251665920"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ת</w:t>
                  </w:r>
                  <w:r>
                    <w:rPr>
                      <w:rFonts w:cs="Miriam" w:hint="cs"/>
                      <w:szCs w:val="18"/>
                      <w:rtl/>
                    </w:rPr>
                    <w:t>חילת הקביעה</w:t>
                  </w:r>
                </w:p>
              </w:txbxContent>
            </v:textbox>
            <w10:anchorlock/>
          </v:rect>
        </w:pict>
      </w:r>
      <w:r>
        <w:rPr>
          <w:rStyle w:val="big-number"/>
          <w:rtl/>
        </w:rPr>
        <w:t>20.</w:t>
      </w:r>
      <w:r>
        <w:rPr>
          <w:rStyle w:val="big-number"/>
          <w:rtl/>
        </w:rPr>
        <w:tab/>
      </w:r>
      <w:r>
        <w:rPr>
          <w:rStyle w:val="default"/>
          <w:rFonts w:cs="FrankRuehl"/>
          <w:rtl/>
        </w:rPr>
        <w:t>ד</w:t>
      </w:r>
      <w:r>
        <w:rPr>
          <w:rStyle w:val="default"/>
          <w:rFonts w:cs="FrankRuehl" w:hint="cs"/>
          <w:rtl/>
        </w:rPr>
        <w:t>רגת נכות אשר קבעה הועדה היא מתאריך החלטתה, אך רשאית היא לקבוע דרגת נכות מתאריך מוקדם מזה ובשים לב לשינויים הצפויים בדרגת הנכות, יכולה היא לק</w:t>
      </w:r>
      <w:r>
        <w:rPr>
          <w:rStyle w:val="default"/>
          <w:rFonts w:cs="FrankRuehl"/>
          <w:rtl/>
        </w:rPr>
        <w:t>ב</w:t>
      </w:r>
      <w:r>
        <w:rPr>
          <w:rStyle w:val="default"/>
          <w:rFonts w:cs="FrankRuehl" w:hint="cs"/>
          <w:rtl/>
        </w:rPr>
        <w:t>וע דרגת נכות שונה מתאריך מאוחר יותר; קביעת נכותו של הפונה תהא לצמיתות אולם דרגתה יכול שתשתנה, בהתאם לתקנה 21.</w:t>
      </w:r>
    </w:p>
    <w:p w:rsidR="00D41905" w:rsidRDefault="00D41905">
      <w:pPr>
        <w:pStyle w:val="medium2-header"/>
        <w:keepLines w:val="0"/>
        <w:spacing w:before="72"/>
        <w:ind w:left="0" w:right="1134"/>
        <w:rPr>
          <w:noProof/>
          <w:sz w:val="20"/>
          <w:rtl/>
        </w:rPr>
      </w:pPr>
      <w:bookmarkStart w:id="23" w:name="med3"/>
      <w:bookmarkEnd w:id="23"/>
      <w:r>
        <w:rPr>
          <w:noProof/>
          <w:sz w:val="20"/>
          <w:rtl/>
        </w:rPr>
        <w:t>פ</w:t>
      </w:r>
      <w:r>
        <w:rPr>
          <w:rFonts w:hint="cs"/>
          <w:noProof/>
          <w:sz w:val="20"/>
          <w:rtl/>
        </w:rPr>
        <w:t>רק ד': הוראות שונות</w:t>
      </w:r>
    </w:p>
    <w:p w:rsidR="00D41905" w:rsidRDefault="00D41905">
      <w:pPr>
        <w:pStyle w:val="P00"/>
        <w:spacing w:before="72"/>
        <w:ind w:left="0" w:right="1134"/>
        <w:rPr>
          <w:rStyle w:val="default"/>
          <w:rFonts w:cs="FrankRuehl"/>
          <w:rtl/>
        </w:rPr>
      </w:pPr>
      <w:bookmarkStart w:id="24" w:name="Seif21"/>
      <w:bookmarkEnd w:id="24"/>
      <w:r>
        <w:rPr>
          <w:lang w:val="he-IL"/>
        </w:rPr>
        <w:pict>
          <v:rect id="_x0000_s1046" style="position:absolute;left:0;text-align:left;margin-left:464.5pt;margin-top:8.05pt;width:75.05pt;height:15.45pt;z-index:251666944"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ק</w:t>
                  </w:r>
                  <w:r>
                    <w:rPr>
                      <w:rFonts w:cs="Miriam" w:hint="cs"/>
                      <w:szCs w:val="18"/>
                      <w:rtl/>
                    </w:rPr>
                    <w:t>ביעה מחדש</w:t>
                  </w:r>
                </w:p>
              </w:txbxContent>
            </v:textbox>
            <w10:anchorlock/>
          </v:rect>
        </w:pict>
      </w:r>
      <w:r>
        <w:rPr>
          <w:rStyle w:val="big-number"/>
          <w:rtl/>
        </w:rPr>
        <w:t>21.</w:t>
      </w:r>
      <w:r>
        <w:rPr>
          <w:rStyle w:val="big-number"/>
          <w:rtl/>
        </w:rPr>
        <w:tab/>
      </w:r>
      <w:r>
        <w:rPr>
          <w:rStyle w:val="default"/>
          <w:rFonts w:cs="FrankRuehl"/>
          <w:rtl/>
        </w:rPr>
        <w:t>ע</w:t>
      </w:r>
      <w:r>
        <w:rPr>
          <w:rStyle w:val="default"/>
          <w:rFonts w:cs="FrankRuehl" w:hint="cs"/>
          <w:rtl/>
        </w:rPr>
        <w:t>ברו ששה חדשים מאז נקבעה לאחרונה דרגת נכותו של פונה, רשאים הפונה, אפוטרופסו א</w:t>
      </w:r>
      <w:r>
        <w:rPr>
          <w:rStyle w:val="default"/>
          <w:rFonts w:cs="FrankRuehl"/>
          <w:rtl/>
        </w:rPr>
        <w:t>ו</w:t>
      </w:r>
      <w:r>
        <w:rPr>
          <w:rStyle w:val="default"/>
          <w:rFonts w:cs="FrankRuehl" w:hint="cs"/>
          <w:rtl/>
        </w:rPr>
        <w:t xml:space="preserve"> האדם שממונה הסמיכו לפי סעיף 56(ב) לחוק, או הגורם המזמן, לבקש קביעה מחדש של דרגת הנכות, אם לדעת מי מהם הפגימה, שבקר אליה נקבעה דרגת הנכות הוחמרה או נתגלתה פגימה חדשה הקשורה עם הפגימה שבשלה נקבעה דרגת הנכות, והוראות תקנות אלה יחולו בשינויים המחוייבים.</w:t>
      </w:r>
    </w:p>
    <w:p w:rsidR="00D41905" w:rsidRDefault="00D41905" w:rsidP="007879F4">
      <w:pPr>
        <w:pStyle w:val="P00"/>
        <w:spacing w:before="72"/>
        <w:ind w:left="0" w:right="1134"/>
        <w:rPr>
          <w:rStyle w:val="default"/>
          <w:rFonts w:cs="FrankRuehl"/>
          <w:rtl/>
        </w:rPr>
      </w:pPr>
      <w:bookmarkStart w:id="25" w:name="Seif22"/>
      <w:bookmarkEnd w:id="25"/>
      <w:r>
        <w:rPr>
          <w:lang w:val="he-IL"/>
        </w:rPr>
        <w:pict>
          <v:rect id="_x0000_s1047" style="position:absolute;left:0;text-align:left;margin-left:464.5pt;margin-top:8.05pt;width:75.05pt;height:10.7pt;z-index:251667968"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תח</w:t>
                  </w:r>
                  <w:r>
                    <w:rPr>
                      <w:rFonts w:cs="Miriam" w:hint="cs"/>
                      <w:szCs w:val="18"/>
                      <w:rtl/>
                    </w:rPr>
                    <w:t>יל</w:t>
                  </w:r>
                  <w:r>
                    <w:rPr>
                      <w:rFonts w:cs="Miriam"/>
                      <w:szCs w:val="18"/>
                      <w:rtl/>
                    </w:rPr>
                    <w:t>ה</w:t>
                  </w:r>
                </w:p>
              </w:txbxContent>
            </v:textbox>
            <w10:anchorlock/>
          </v:rect>
        </w:pict>
      </w:r>
      <w:r>
        <w:rPr>
          <w:rStyle w:val="big-number"/>
          <w:rtl/>
        </w:rPr>
        <w:t>22.</w:t>
      </w:r>
      <w:r>
        <w:rPr>
          <w:rStyle w:val="big-number"/>
          <w:rtl/>
        </w:rPr>
        <w:tab/>
      </w:r>
      <w:r>
        <w:rPr>
          <w:rStyle w:val="default"/>
          <w:rFonts w:cs="FrankRuehl"/>
          <w:rtl/>
        </w:rPr>
        <w:t>ת</w:t>
      </w:r>
      <w:r>
        <w:rPr>
          <w:rStyle w:val="default"/>
          <w:rFonts w:cs="FrankRuehl" w:hint="cs"/>
          <w:rtl/>
        </w:rPr>
        <w:t xml:space="preserve">חילתן של תקנות אלה שלושים ימים מיום פרסומן (להלן </w:t>
      </w:r>
      <w:r w:rsidR="007879F4">
        <w:rPr>
          <w:rStyle w:val="default"/>
          <w:rFonts w:cs="FrankRuehl" w:hint="cs"/>
          <w:rtl/>
        </w:rPr>
        <w:t>-</w:t>
      </w:r>
      <w:r>
        <w:rPr>
          <w:rStyle w:val="default"/>
          <w:rFonts w:cs="FrankRuehl" w:hint="cs"/>
          <w:rtl/>
        </w:rPr>
        <w:t xml:space="preserve"> יום התחילה).</w:t>
      </w:r>
    </w:p>
    <w:p w:rsidR="00D41905" w:rsidRDefault="00D41905">
      <w:pPr>
        <w:pStyle w:val="P00"/>
        <w:spacing w:before="72"/>
        <w:ind w:left="0" w:right="1134"/>
        <w:rPr>
          <w:rStyle w:val="default"/>
          <w:rFonts w:cs="FrankRuehl"/>
          <w:rtl/>
        </w:rPr>
      </w:pPr>
      <w:bookmarkStart w:id="26" w:name="Seif23"/>
      <w:bookmarkEnd w:id="26"/>
      <w:r>
        <w:rPr>
          <w:lang w:val="he-IL"/>
        </w:rPr>
        <w:pict>
          <v:rect id="_x0000_s1048" style="position:absolute;left:0;text-align:left;margin-left:464.5pt;margin-top:8.05pt;width:75.05pt;height:13.2pt;z-index:251668992" o:allowincell="f" filled="f" stroked="f" strokecolor="lime" strokeweight=".25pt">
            <v:textbox inset="0,0,0,0">
              <w:txbxContent>
                <w:p w:rsidR="00D41905" w:rsidRDefault="00D41905">
                  <w:pPr>
                    <w:spacing w:line="160" w:lineRule="exact"/>
                    <w:jc w:val="left"/>
                    <w:rPr>
                      <w:rFonts w:cs="Miriam"/>
                      <w:noProof/>
                      <w:szCs w:val="18"/>
                      <w:rtl/>
                    </w:rPr>
                  </w:pPr>
                  <w:r>
                    <w:rPr>
                      <w:rFonts w:cs="Miriam"/>
                      <w:szCs w:val="18"/>
                      <w:rtl/>
                    </w:rPr>
                    <w:t>ה</w:t>
                  </w:r>
                  <w:r>
                    <w:rPr>
                      <w:rFonts w:cs="Miriam" w:hint="cs"/>
                      <w:szCs w:val="18"/>
                      <w:rtl/>
                    </w:rPr>
                    <w:t>ור</w:t>
                  </w:r>
                  <w:r>
                    <w:rPr>
                      <w:rFonts w:cs="Miriam"/>
                      <w:szCs w:val="18"/>
                      <w:rtl/>
                    </w:rPr>
                    <w:t>א</w:t>
                  </w:r>
                  <w:r>
                    <w:rPr>
                      <w:rFonts w:cs="Miriam" w:hint="cs"/>
                      <w:szCs w:val="18"/>
                      <w:rtl/>
                    </w:rPr>
                    <w:t>ות מעבר</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נקבעה לפונה דרגת נכות לפני יום התחילה, רואים את דרגת הנכות שנקבעה לו כאמור, כאילו נקבעה לפי תקנות אלה.</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הוגשה בקשה לקביעת דרגת נכות של פונה, ועד יום התחילה</w:t>
      </w:r>
      <w:r>
        <w:rPr>
          <w:rStyle w:val="default"/>
          <w:rFonts w:cs="FrankRuehl"/>
          <w:rtl/>
        </w:rPr>
        <w:t xml:space="preserve"> </w:t>
      </w:r>
      <w:r>
        <w:rPr>
          <w:rStyle w:val="default"/>
          <w:rFonts w:cs="FrankRuehl" w:hint="cs"/>
          <w:rtl/>
        </w:rPr>
        <w:t>לא נקבעה לו דרגת נכות, יחולו עליה הוראות תקנות אלה.</w:t>
      </w:r>
    </w:p>
    <w:p w:rsidR="00D41905" w:rsidRDefault="00D419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בקשה לבדיקה מחדש של פונה שדרגת נכותו נקבעה לפני יום התחילה, תידון הבקשה לפי תקנות אלה.</w:t>
      </w:r>
    </w:p>
    <w:p w:rsidR="00D41905" w:rsidRPr="007879F4" w:rsidRDefault="00D41905" w:rsidP="007879F4">
      <w:pPr>
        <w:pStyle w:val="P00"/>
        <w:spacing w:before="72"/>
        <w:ind w:left="0" w:right="1134"/>
        <w:rPr>
          <w:rStyle w:val="default"/>
          <w:rFonts w:cs="FrankRuehl"/>
          <w:rtl/>
        </w:rPr>
      </w:pPr>
    </w:p>
    <w:p w:rsidR="00D41905" w:rsidRPr="007879F4" w:rsidRDefault="00D41905">
      <w:pPr>
        <w:pStyle w:val="medium2-header"/>
        <w:keepLines w:val="0"/>
        <w:spacing w:before="72"/>
        <w:ind w:left="0" w:right="1134"/>
        <w:rPr>
          <w:noProof/>
          <w:sz w:val="26"/>
          <w:szCs w:val="26"/>
          <w:rtl/>
        </w:rPr>
      </w:pPr>
      <w:bookmarkStart w:id="27" w:name="med4"/>
      <w:bookmarkEnd w:id="27"/>
      <w:r w:rsidRPr="007879F4">
        <w:rPr>
          <w:noProof/>
          <w:sz w:val="26"/>
          <w:szCs w:val="26"/>
          <w:rtl/>
        </w:rPr>
        <w:t>ת</w:t>
      </w:r>
      <w:r w:rsidRPr="007879F4">
        <w:rPr>
          <w:rFonts w:hint="cs"/>
          <w:noProof/>
          <w:sz w:val="26"/>
          <w:szCs w:val="26"/>
          <w:rtl/>
        </w:rPr>
        <w:t>וספת ראשונה</w:t>
      </w:r>
    </w:p>
    <w:p w:rsidR="00D41905" w:rsidRDefault="00D41905">
      <w:pPr>
        <w:pStyle w:val="medium-header"/>
        <w:keepNext w:val="0"/>
        <w:keepLines w:val="0"/>
        <w:ind w:left="0" w:right="1134"/>
        <w:rPr>
          <w:rFonts w:hint="cs"/>
          <w:sz w:val="24"/>
          <w:szCs w:val="24"/>
          <w:rtl/>
        </w:rPr>
      </w:pPr>
      <w:r w:rsidRPr="007879F4">
        <w:rPr>
          <w:sz w:val="24"/>
          <w:szCs w:val="24"/>
          <w:rtl/>
        </w:rPr>
        <w:t>(</w:t>
      </w:r>
      <w:r w:rsidRPr="007879F4">
        <w:rPr>
          <w:rFonts w:hint="cs"/>
          <w:sz w:val="24"/>
          <w:szCs w:val="24"/>
          <w:rtl/>
        </w:rPr>
        <w:t>תקנות 1, 13 ו-17)</w:t>
      </w:r>
    </w:p>
    <w:p w:rsidR="00D41905" w:rsidRDefault="00D41905">
      <w:pPr>
        <w:pStyle w:val="header-2"/>
        <w:ind w:left="0" w:right="1134"/>
        <w:rPr>
          <w:rFonts w:hint="cs"/>
          <w:rtl/>
        </w:rPr>
      </w:pPr>
      <w:bookmarkStart w:id="28" w:name="hed20"/>
      <w:bookmarkEnd w:id="28"/>
      <w:r>
        <w:rPr>
          <w:rtl/>
        </w:rPr>
        <w:t>ח</w:t>
      </w:r>
      <w:r>
        <w:rPr>
          <w:rFonts w:hint="cs"/>
          <w:rtl/>
        </w:rPr>
        <w:t>לק א': ליקויים</w:t>
      </w:r>
    </w:p>
    <w:p w:rsidR="000312B7" w:rsidRDefault="000312B7" w:rsidP="000312B7">
      <w:pPr>
        <w:pStyle w:val="header-2"/>
        <w:ind w:left="0" w:right="1134"/>
        <w:rPr>
          <w:rtl/>
        </w:rPr>
      </w:pPr>
      <w:bookmarkStart w:id="29" w:name="hed21"/>
      <w:bookmarkEnd w:id="29"/>
      <w:r>
        <w:rPr>
          <w:rtl/>
        </w:rPr>
        <w:t>ח</w:t>
      </w:r>
      <w:r>
        <w:rPr>
          <w:rFonts w:hint="cs"/>
          <w:rtl/>
        </w:rPr>
        <w:t xml:space="preserve">לק ב' </w:t>
      </w:r>
      <w:r>
        <w:rPr>
          <w:rtl/>
        </w:rPr>
        <w:t>–</w:t>
      </w:r>
      <w:r>
        <w:rPr>
          <w:rFonts w:hint="cs"/>
          <w:rtl/>
        </w:rPr>
        <w:t xml:space="preserve"> מחלות מקצוע</w:t>
      </w:r>
    </w:p>
    <w:p w:rsidR="00D41905" w:rsidRDefault="00D41905">
      <w:pPr>
        <w:pStyle w:val="header-2"/>
        <w:ind w:left="0" w:right="1134"/>
        <w:rPr>
          <w:rFonts w:hint="cs"/>
          <w:rtl/>
        </w:rPr>
      </w:pPr>
      <w:bookmarkStart w:id="30" w:name="hed22"/>
      <w:bookmarkEnd w:id="30"/>
      <w:r>
        <w:rPr>
          <w:rtl/>
        </w:rPr>
        <w:t>ח</w:t>
      </w:r>
      <w:r>
        <w:rPr>
          <w:rFonts w:hint="cs"/>
          <w:rtl/>
        </w:rPr>
        <w:t>לק ג': מבחנים בנסיבות מיוחדות</w:t>
      </w:r>
    </w:p>
    <w:p w:rsidR="00AD10E5" w:rsidRPr="007879F4" w:rsidRDefault="00AD10E5" w:rsidP="00AD10E5">
      <w:pPr>
        <w:pStyle w:val="medium-header"/>
        <w:keepNext w:val="0"/>
        <w:keepLines w:val="0"/>
        <w:ind w:left="0" w:right="1134"/>
        <w:rPr>
          <w:rFonts w:hint="cs"/>
          <w:sz w:val="24"/>
          <w:szCs w:val="24"/>
          <w:rtl/>
        </w:rPr>
      </w:pPr>
      <w:r>
        <w:rPr>
          <w:rFonts w:hint="cs"/>
          <w:sz w:val="24"/>
          <w:szCs w:val="24"/>
          <w:rtl/>
        </w:rPr>
        <w:t>(הושמטו)</w:t>
      </w:r>
    </w:p>
    <w:p w:rsidR="00D41905" w:rsidRPr="007879F4" w:rsidRDefault="00D41905" w:rsidP="007879F4">
      <w:pPr>
        <w:pStyle w:val="P00"/>
        <w:spacing w:before="72"/>
        <w:ind w:left="0" w:right="1134"/>
        <w:rPr>
          <w:rStyle w:val="default"/>
          <w:rFonts w:cs="FrankRuehl"/>
          <w:rtl/>
        </w:rPr>
      </w:pPr>
    </w:p>
    <w:p w:rsidR="00D41905" w:rsidRPr="000312B7" w:rsidRDefault="00D41905">
      <w:pPr>
        <w:pStyle w:val="medium2-header"/>
        <w:keepLines w:val="0"/>
        <w:spacing w:before="72"/>
        <w:ind w:left="0" w:right="1134"/>
        <w:rPr>
          <w:noProof/>
          <w:sz w:val="26"/>
          <w:szCs w:val="26"/>
          <w:rtl/>
        </w:rPr>
      </w:pPr>
      <w:bookmarkStart w:id="31" w:name="med5"/>
      <w:bookmarkEnd w:id="31"/>
      <w:r w:rsidRPr="000312B7">
        <w:rPr>
          <w:noProof/>
          <w:sz w:val="26"/>
          <w:szCs w:val="26"/>
          <w:rtl/>
        </w:rPr>
        <w:t>ת</w:t>
      </w:r>
      <w:r w:rsidRPr="000312B7">
        <w:rPr>
          <w:rFonts w:hint="cs"/>
          <w:noProof/>
          <w:sz w:val="26"/>
          <w:szCs w:val="26"/>
          <w:rtl/>
        </w:rPr>
        <w:t>וספת שניה</w:t>
      </w:r>
    </w:p>
    <w:p w:rsidR="00D41905" w:rsidRPr="000312B7" w:rsidRDefault="00D41905">
      <w:pPr>
        <w:pStyle w:val="medium-header"/>
        <w:keepNext w:val="0"/>
        <w:keepLines w:val="0"/>
        <w:ind w:left="0" w:right="1134"/>
        <w:rPr>
          <w:sz w:val="24"/>
          <w:szCs w:val="24"/>
          <w:rtl/>
        </w:rPr>
      </w:pPr>
      <w:r w:rsidRPr="000312B7">
        <w:rPr>
          <w:sz w:val="24"/>
          <w:szCs w:val="24"/>
          <w:rtl/>
        </w:rPr>
        <w:t>(</w:t>
      </w:r>
      <w:r w:rsidRPr="000312B7">
        <w:rPr>
          <w:rFonts w:hint="cs"/>
          <w:sz w:val="24"/>
          <w:szCs w:val="24"/>
          <w:rtl/>
        </w:rPr>
        <w:t>תקנה 4)</w:t>
      </w:r>
    </w:p>
    <w:p w:rsidR="00D41905" w:rsidRPr="000312B7" w:rsidRDefault="00D41905">
      <w:pPr>
        <w:pStyle w:val="medium-header"/>
        <w:keepNext w:val="0"/>
        <w:keepLines w:val="0"/>
        <w:ind w:left="0" w:right="1134"/>
        <w:rPr>
          <w:rStyle w:val="default"/>
          <w:rFonts w:cs="FrankRuehl"/>
          <w:sz w:val="24"/>
          <w:szCs w:val="24"/>
          <w:rtl/>
        </w:rPr>
      </w:pPr>
      <w:r w:rsidRPr="000312B7">
        <w:rPr>
          <w:sz w:val="24"/>
          <w:szCs w:val="24"/>
          <w:rtl/>
        </w:rPr>
        <w:t>ט</w:t>
      </w:r>
      <w:r w:rsidRPr="000312B7">
        <w:rPr>
          <w:rFonts w:hint="cs"/>
          <w:sz w:val="24"/>
          <w:szCs w:val="24"/>
          <w:rtl/>
        </w:rPr>
        <w:t>ופס ויתור על סודיות</w:t>
      </w:r>
    </w:p>
    <w:p w:rsidR="00D41905" w:rsidRPr="000312B7" w:rsidRDefault="00D41905">
      <w:pPr>
        <w:pStyle w:val="medium-header"/>
        <w:keepNext w:val="0"/>
        <w:keepLines w:val="0"/>
        <w:ind w:left="0" w:right="1134"/>
        <w:rPr>
          <w:sz w:val="24"/>
          <w:szCs w:val="24"/>
          <w:rtl/>
        </w:rPr>
      </w:pPr>
      <w:r w:rsidRPr="000312B7">
        <w:rPr>
          <w:sz w:val="24"/>
          <w:szCs w:val="24"/>
          <w:rtl/>
        </w:rPr>
        <w:t>(</w:t>
      </w:r>
      <w:r w:rsidRPr="000312B7">
        <w:rPr>
          <w:rFonts w:hint="cs"/>
          <w:sz w:val="24"/>
          <w:szCs w:val="24"/>
          <w:rtl/>
        </w:rPr>
        <w:t>ייחתם בידי הפונה או על ידי האפוטרופוס בלבד)</w:t>
      </w:r>
    </w:p>
    <w:p w:rsidR="00D41905" w:rsidRDefault="00D41905" w:rsidP="000312B7">
      <w:pPr>
        <w:pStyle w:val="P00"/>
        <w:spacing w:before="72"/>
        <w:ind w:left="0" w:right="1134"/>
        <w:rPr>
          <w:rStyle w:val="default"/>
          <w:rFonts w:cs="FrankRuehl"/>
          <w:rtl/>
        </w:rPr>
      </w:pPr>
      <w:r>
        <w:rPr>
          <w:rStyle w:val="default"/>
          <w:rFonts w:cs="FrankRuehl"/>
          <w:rtl/>
        </w:rPr>
        <w:t>א</w:t>
      </w:r>
      <w:r>
        <w:rPr>
          <w:rStyle w:val="default"/>
          <w:rFonts w:cs="FrankRuehl" w:hint="cs"/>
          <w:rtl/>
        </w:rPr>
        <w:t>ני החתום מטה, מבקש/ת למסור לממונה על הגימלאות (להל</w:t>
      </w:r>
      <w:r>
        <w:rPr>
          <w:rStyle w:val="default"/>
          <w:rFonts w:cs="FrankRuehl"/>
          <w:rtl/>
        </w:rPr>
        <w:t>ן</w:t>
      </w:r>
      <w:r>
        <w:rPr>
          <w:rStyle w:val="default"/>
          <w:rFonts w:cs="FrankRuehl" w:hint="cs"/>
          <w:rtl/>
        </w:rPr>
        <w:t xml:space="preserve"> </w:t>
      </w:r>
      <w:r w:rsidR="000312B7">
        <w:rPr>
          <w:rStyle w:val="default"/>
          <w:rFonts w:cs="FrankRuehl" w:hint="cs"/>
          <w:rtl/>
        </w:rPr>
        <w:t>-</w:t>
      </w:r>
      <w:r>
        <w:rPr>
          <w:rStyle w:val="default"/>
          <w:rFonts w:cs="FrankRuehl" w:hint="cs"/>
          <w:rtl/>
        </w:rPr>
        <w:t xml:space="preserve"> הממונה) ולועדה הרפואית (להלן </w:t>
      </w:r>
      <w:r w:rsidR="000312B7">
        <w:rPr>
          <w:rStyle w:val="default"/>
          <w:rFonts w:cs="FrankRuehl" w:hint="cs"/>
          <w:rtl/>
        </w:rPr>
        <w:t>-</w:t>
      </w:r>
      <w:r>
        <w:rPr>
          <w:rStyle w:val="default"/>
          <w:rFonts w:cs="FrankRuehl" w:hint="cs"/>
          <w:rtl/>
        </w:rPr>
        <w:t xml:space="preserve"> הועדה) כמשמעותם בחוק שירות הקבע בצבא הגנה לישראל (גימלאות) [נוסח משולב], תשמ"ה</w:t>
      </w:r>
      <w:r w:rsidR="000312B7">
        <w:rPr>
          <w:rStyle w:val="default"/>
          <w:rFonts w:cs="FrankRuehl" w:hint="cs"/>
          <w:rtl/>
        </w:rPr>
        <w:t>-</w:t>
      </w:r>
      <w:r>
        <w:rPr>
          <w:rStyle w:val="default"/>
          <w:rFonts w:cs="FrankRuehl" w:hint="cs"/>
          <w:rtl/>
        </w:rPr>
        <w:t>1985, או לבא כוחם, כל מידע או מסמך בקשר למצבי הרפואי, התפקודי והכללי לרבות כל מידע או מסמך בקשר למחלות וטיפולים רפואיים שניתנו או ינתנו לי ות</w:t>
      </w:r>
      <w:r>
        <w:rPr>
          <w:rStyle w:val="default"/>
          <w:rFonts w:cs="FrankRuehl"/>
          <w:rtl/>
        </w:rPr>
        <w:t>וצ</w:t>
      </w:r>
      <w:r>
        <w:rPr>
          <w:rStyle w:val="default"/>
          <w:rFonts w:cs="FrankRuehl" w:hint="cs"/>
          <w:rtl/>
        </w:rPr>
        <w:t>אותיהם.</w:t>
      </w:r>
    </w:p>
    <w:p w:rsidR="00D41905" w:rsidRDefault="00D41905">
      <w:pPr>
        <w:pStyle w:val="P00"/>
        <w:spacing w:before="72"/>
        <w:ind w:left="0" w:right="1134"/>
        <w:rPr>
          <w:rStyle w:val="default"/>
          <w:rFonts w:cs="FrankRuehl"/>
          <w:rtl/>
        </w:rPr>
      </w:pPr>
      <w:r>
        <w:rPr>
          <w:rStyle w:val="default"/>
          <w:rFonts w:cs="FrankRuehl"/>
          <w:rtl/>
        </w:rPr>
        <w:t>ב</w:t>
      </w:r>
      <w:r>
        <w:rPr>
          <w:rStyle w:val="default"/>
          <w:rFonts w:cs="FrankRuehl" w:hint="cs"/>
          <w:rtl/>
        </w:rPr>
        <w:t>חתימתי להלן, מרשה אני לממונה ולועדה להעביר לאנשים ולגופים אשר באמצעותם ובעזרתם תפעל הועדה, כל מידע שיגיע או הנמצא ברשותם והנחוץ לקבלת החלטה בקשר לדרגת נכותי.</w:t>
      </w:r>
    </w:p>
    <w:p w:rsidR="00D41905" w:rsidRDefault="00D41905" w:rsidP="000312B7">
      <w:pPr>
        <w:pStyle w:val="P00"/>
        <w:spacing w:before="72"/>
        <w:ind w:left="0" w:right="1134"/>
        <w:rPr>
          <w:rStyle w:val="default"/>
          <w:rFonts w:cs="FrankRuehl"/>
          <w:rtl/>
        </w:rPr>
      </w:pPr>
      <w:r>
        <w:rPr>
          <w:rStyle w:val="default"/>
          <w:rFonts w:cs="FrankRuehl"/>
          <w:rtl/>
        </w:rPr>
        <w:t>א</w:t>
      </w:r>
      <w:r>
        <w:rPr>
          <w:rStyle w:val="default"/>
          <w:rFonts w:cs="FrankRuehl" w:hint="cs"/>
          <w:rtl/>
        </w:rPr>
        <w:t>ני פוטר את מוסר המידע מכל חובת סודיות שחלה עליו על פי דין לרבות הוראות חוק הגנת הפרטיות</w:t>
      </w:r>
      <w:r>
        <w:rPr>
          <w:rStyle w:val="default"/>
          <w:rFonts w:cs="FrankRuehl"/>
          <w:rtl/>
        </w:rPr>
        <w:t xml:space="preserve">, </w:t>
      </w:r>
      <w:r>
        <w:rPr>
          <w:rStyle w:val="default"/>
          <w:rFonts w:cs="FrankRuehl" w:hint="cs"/>
          <w:rtl/>
        </w:rPr>
        <w:t>תשמ"א</w:t>
      </w:r>
      <w:r w:rsidR="000312B7">
        <w:rPr>
          <w:rStyle w:val="default"/>
          <w:rFonts w:cs="FrankRuehl" w:hint="cs"/>
          <w:rtl/>
        </w:rPr>
        <w:t>-</w:t>
      </w:r>
      <w:r>
        <w:rPr>
          <w:rStyle w:val="default"/>
          <w:rFonts w:cs="FrankRuehl" w:hint="cs"/>
          <w:rtl/>
        </w:rPr>
        <w:t>1981, בענין מסירת מידע.</w:t>
      </w:r>
    </w:p>
    <w:p w:rsidR="00D41905" w:rsidRDefault="00D41905">
      <w:pPr>
        <w:pStyle w:val="P00"/>
        <w:spacing w:before="72"/>
        <w:ind w:left="0" w:right="1134"/>
        <w:rPr>
          <w:rFonts w:hint="cs"/>
          <w:rtl/>
        </w:rPr>
      </w:pPr>
      <w:r>
        <w:rPr>
          <w:rtl/>
        </w:rPr>
        <w:t>ש</w:t>
      </w:r>
      <w:r>
        <w:rPr>
          <w:rFonts w:hint="cs"/>
          <w:rtl/>
        </w:rPr>
        <w:t xml:space="preserve">ם </w:t>
      </w:r>
      <w:r w:rsidR="000312B7">
        <w:rPr>
          <w:rtl/>
        </w:rPr>
        <w:fldChar w:fldCharType="begin">
          <w:ffData>
            <w:name w:val="Text1"/>
            <w:enabled/>
            <w:calcOnExit w:val="0"/>
            <w:textInput/>
          </w:ffData>
        </w:fldChar>
      </w:r>
      <w:bookmarkStart w:id="32" w:name="Text1"/>
      <w:r w:rsidR="000312B7">
        <w:rPr>
          <w:rtl/>
        </w:rPr>
        <w:instrText xml:space="preserve"> </w:instrText>
      </w:r>
      <w:r w:rsidR="000312B7">
        <w:rPr>
          <w:rFonts w:hint="cs"/>
        </w:rPr>
        <w:instrText>FORMTEXT</w:instrText>
      </w:r>
      <w:r w:rsidR="000312B7">
        <w:rPr>
          <w:rtl/>
        </w:rPr>
        <w:instrText xml:space="preserve"> </w:instrText>
      </w:r>
      <w:r w:rsidR="000312B7">
        <w:rPr>
          <w:rtl/>
        </w:rPr>
        <w:fldChar w:fldCharType="separate"/>
      </w:r>
      <w:r w:rsidR="00DB0984">
        <w:rPr>
          <w:rtl/>
        </w:rPr>
        <w:t> </w:t>
      </w:r>
      <w:r w:rsidR="00DB0984">
        <w:rPr>
          <w:rtl/>
        </w:rPr>
        <w:t> </w:t>
      </w:r>
      <w:r w:rsidR="00DB0984">
        <w:rPr>
          <w:rtl/>
        </w:rPr>
        <w:t> </w:t>
      </w:r>
      <w:r w:rsidR="00DB0984">
        <w:rPr>
          <w:rtl/>
        </w:rPr>
        <w:t> </w:t>
      </w:r>
      <w:r w:rsidR="00DB0984">
        <w:rPr>
          <w:rtl/>
        </w:rPr>
        <w:t> </w:t>
      </w:r>
      <w:r w:rsidR="000312B7">
        <w:rPr>
          <w:rtl/>
        </w:rPr>
        <w:fldChar w:fldCharType="end"/>
      </w:r>
      <w:bookmarkEnd w:id="32"/>
      <w:r w:rsidR="000312B7">
        <w:rPr>
          <w:rFonts w:hint="cs"/>
          <w:rtl/>
        </w:rPr>
        <w:t xml:space="preserve"> </w:t>
      </w:r>
      <w:r>
        <w:rPr>
          <w:rFonts w:hint="cs"/>
          <w:rtl/>
        </w:rPr>
        <w:t>ת"ז/מ"א</w:t>
      </w:r>
      <w:r w:rsidR="000312B7">
        <w:rPr>
          <w:rFonts w:hint="cs"/>
          <w:rtl/>
        </w:rPr>
        <w:t xml:space="preserve"> </w:t>
      </w:r>
      <w:r w:rsidR="000312B7">
        <w:rPr>
          <w:rtl/>
        </w:rPr>
        <w:fldChar w:fldCharType="begin">
          <w:ffData>
            <w:name w:val="Text2"/>
            <w:enabled/>
            <w:calcOnExit w:val="0"/>
            <w:textInput/>
          </w:ffData>
        </w:fldChar>
      </w:r>
      <w:bookmarkStart w:id="33" w:name="Text2"/>
      <w:r w:rsidR="000312B7">
        <w:rPr>
          <w:rtl/>
        </w:rPr>
        <w:instrText xml:space="preserve"> </w:instrText>
      </w:r>
      <w:r w:rsidR="000312B7">
        <w:rPr>
          <w:rFonts w:hint="cs"/>
        </w:rPr>
        <w:instrText>FORMTEXT</w:instrText>
      </w:r>
      <w:r w:rsidR="000312B7">
        <w:rPr>
          <w:rtl/>
        </w:rPr>
        <w:instrText xml:space="preserve"> </w:instrText>
      </w:r>
      <w:r w:rsidR="000312B7">
        <w:rPr>
          <w:rtl/>
        </w:rPr>
        <w:fldChar w:fldCharType="separate"/>
      </w:r>
      <w:r w:rsidR="00DB0984">
        <w:rPr>
          <w:rtl/>
        </w:rPr>
        <w:t> </w:t>
      </w:r>
      <w:r w:rsidR="00DB0984">
        <w:rPr>
          <w:rtl/>
        </w:rPr>
        <w:t> </w:t>
      </w:r>
      <w:r w:rsidR="00DB0984">
        <w:rPr>
          <w:rtl/>
        </w:rPr>
        <w:t> </w:t>
      </w:r>
      <w:r w:rsidR="00DB0984">
        <w:rPr>
          <w:rtl/>
        </w:rPr>
        <w:t> </w:t>
      </w:r>
      <w:r w:rsidR="00DB0984">
        <w:rPr>
          <w:rtl/>
        </w:rPr>
        <w:t> </w:t>
      </w:r>
      <w:r w:rsidR="000312B7">
        <w:rPr>
          <w:rtl/>
        </w:rPr>
        <w:fldChar w:fldCharType="end"/>
      </w:r>
      <w:bookmarkEnd w:id="33"/>
      <w:r>
        <w:rPr>
          <w:rFonts w:hint="cs"/>
          <w:rtl/>
        </w:rPr>
        <w:t xml:space="preserve"> בתוקף מינוי כאפוטרופוס של</w:t>
      </w:r>
      <w:r w:rsidR="000312B7">
        <w:rPr>
          <w:rFonts w:hint="cs"/>
          <w:rtl/>
        </w:rPr>
        <w:t xml:space="preserve"> </w:t>
      </w:r>
      <w:r w:rsidR="000312B7">
        <w:rPr>
          <w:rtl/>
        </w:rPr>
        <w:fldChar w:fldCharType="begin">
          <w:ffData>
            <w:name w:val="Text3"/>
            <w:enabled/>
            <w:calcOnExit w:val="0"/>
            <w:textInput/>
          </w:ffData>
        </w:fldChar>
      </w:r>
      <w:bookmarkStart w:id="34" w:name="Text3"/>
      <w:r w:rsidR="000312B7">
        <w:rPr>
          <w:rtl/>
        </w:rPr>
        <w:instrText xml:space="preserve"> </w:instrText>
      </w:r>
      <w:r w:rsidR="000312B7">
        <w:rPr>
          <w:rFonts w:hint="cs"/>
        </w:rPr>
        <w:instrText>FORMTEXT</w:instrText>
      </w:r>
      <w:r w:rsidR="000312B7">
        <w:rPr>
          <w:rtl/>
        </w:rPr>
        <w:instrText xml:space="preserve"> </w:instrText>
      </w:r>
      <w:r w:rsidR="000312B7">
        <w:rPr>
          <w:rtl/>
        </w:rPr>
        <w:fldChar w:fldCharType="separate"/>
      </w:r>
      <w:r w:rsidR="00DB0984">
        <w:rPr>
          <w:rtl/>
        </w:rPr>
        <w:t> </w:t>
      </w:r>
      <w:r w:rsidR="00DB0984">
        <w:rPr>
          <w:rtl/>
        </w:rPr>
        <w:t> </w:t>
      </w:r>
      <w:r w:rsidR="00DB0984">
        <w:rPr>
          <w:rtl/>
        </w:rPr>
        <w:t> </w:t>
      </w:r>
      <w:r w:rsidR="00DB0984">
        <w:rPr>
          <w:rtl/>
        </w:rPr>
        <w:t> </w:t>
      </w:r>
      <w:r w:rsidR="00DB0984">
        <w:rPr>
          <w:rtl/>
        </w:rPr>
        <w:t> </w:t>
      </w:r>
      <w:r w:rsidR="000312B7">
        <w:rPr>
          <w:rtl/>
        </w:rPr>
        <w:fldChar w:fldCharType="end"/>
      </w:r>
      <w:bookmarkEnd w:id="34"/>
    </w:p>
    <w:p w:rsidR="000312B7" w:rsidRDefault="000312B7">
      <w:pPr>
        <w:pStyle w:val="P00"/>
        <w:spacing w:before="72"/>
        <w:ind w:left="0" w:right="1134"/>
        <w:rPr>
          <w:rFonts w:hint="cs"/>
          <w:rtl/>
        </w:rPr>
      </w:pPr>
    </w:p>
    <w:p w:rsidR="00D41905" w:rsidRDefault="00D41905">
      <w:pPr>
        <w:pStyle w:val="P00"/>
        <w:spacing w:before="72"/>
        <w:ind w:left="0" w:right="1134"/>
        <w:rPr>
          <w:rtl/>
        </w:rPr>
      </w:pPr>
      <w:r>
        <w:rPr>
          <w:rtl/>
        </w:rPr>
        <w:t>ח</w:t>
      </w:r>
      <w:r>
        <w:rPr>
          <w:rFonts w:hint="cs"/>
          <w:rtl/>
        </w:rPr>
        <w:t>תימה</w:t>
      </w:r>
      <w:r w:rsidR="000312B7">
        <w:rPr>
          <w:rFonts w:hint="cs"/>
          <w:rtl/>
        </w:rPr>
        <w:t xml:space="preserve"> ____________</w:t>
      </w:r>
      <w:r w:rsidR="000312B7">
        <w:rPr>
          <w:rFonts w:hint="cs"/>
          <w:rtl/>
        </w:rPr>
        <w:tab/>
      </w:r>
      <w:r>
        <w:rPr>
          <w:rFonts w:hint="cs"/>
          <w:rtl/>
        </w:rPr>
        <w:t>תאריך</w:t>
      </w:r>
      <w:r w:rsidR="000312B7">
        <w:rPr>
          <w:rFonts w:hint="cs"/>
          <w:rtl/>
        </w:rPr>
        <w:t xml:space="preserve"> </w:t>
      </w:r>
      <w:r w:rsidR="000312B7">
        <w:rPr>
          <w:rtl/>
        </w:rPr>
        <w:fldChar w:fldCharType="begin">
          <w:ffData>
            <w:name w:val="Text4"/>
            <w:enabled/>
            <w:calcOnExit w:val="0"/>
            <w:textInput/>
          </w:ffData>
        </w:fldChar>
      </w:r>
      <w:bookmarkStart w:id="35" w:name="Text4"/>
      <w:r w:rsidR="000312B7">
        <w:rPr>
          <w:rtl/>
        </w:rPr>
        <w:instrText xml:space="preserve"> </w:instrText>
      </w:r>
      <w:r w:rsidR="000312B7">
        <w:rPr>
          <w:rFonts w:hint="cs"/>
        </w:rPr>
        <w:instrText>FORMTEXT</w:instrText>
      </w:r>
      <w:r w:rsidR="000312B7">
        <w:rPr>
          <w:rtl/>
        </w:rPr>
        <w:instrText xml:space="preserve"> </w:instrText>
      </w:r>
      <w:r w:rsidR="000312B7">
        <w:rPr>
          <w:rtl/>
        </w:rPr>
        <w:fldChar w:fldCharType="separate"/>
      </w:r>
      <w:r w:rsidR="00DB0984">
        <w:rPr>
          <w:rtl/>
        </w:rPr>
        <w:t> </w:t>
      </w:r>
      <w:r w:rsidR="00DB0984">
        <w:rPr>
          <w:rtl/>
        </w:rPr>
        <w:t> </w:t>
      </w:r>
      <w:r w:rsidR="00DB0984">
        <w:rPr>
          <w:rtl/>
        </w:rPr>
        <w:t> </w:t>
      </w:r>
      <w:r w:rsidR="00DB0984">
        <w:rPr>
          <w:rtl/>
        </w:rPr>
        <w:t> </w:t>
      </w:r>
      <w:r w:rsidR="00DB0984">
        <w:rPr>
          <w:rtl/>
        </w:rPr>
        <w:t> </w:t>
      </w:r>
      <w:r w:rsidR="000312B7">
        <w:rPr>
          <w:rtl/>
        </w:rPr>
        <w:fldChar w:fldCharType="end"/>
      </w:r>
      <w:bookmarkEnd w:id="35"/>
    </w:p>
    <w:p w:rsidR="00D41905" w:rsidRDefault="00D41905">
      <w:pPr>
        <w:pStyle w:val="P00"/>
        <w:spacing w:before="72"/>
        <w:ind w:left="0" w:right="1134"/>
        <w:rPr>
          <w:rFonts w:hint="cs"/>
          <w:rtl/>
        </w:rPr>
      </w:pPr>
    </w:p>
    <w:p w:rsidR="007879F4" w:rsidRDefault="007879F4">
      <w:pPr>
        <w:pStyle w:val="P00"/>
        <w:spacing w:before="72"/>
        <w:ind w:left="0" w:right="1134"/>
        <w:rPr>
          <w:rFonts w:hint="cs"/>
          <w:rtl/>
        </w:rPr>
      </w:pPr>
    </w:p>
    <w:p w:rsidR="00D41905" w:rsidRDefault="00D41905" w:rsidP="007879F4">
      <w:pPr>
        <w:pStyle w:val="sig-0"/>
        <w:spacing w:before="72"/>
        <w:ind w:left="0" w:right="1134"/>
        <w:rPr>
          <w:rFonts w:hint="cs"/>
          <w:rtl/>
        </w:rPr>
      </w:pPr>
      <w:r>
        <w:rPr>
          <w:rtl/>
        </w:rPr>
        <w:t>כ</w:t>
      </w:r>
      <w:r>
        <w:rPr>
          <w:rFonts w:hint="cs"/>
          <w:rtl/>
        </w:rPr>
        <w:t>"ה בניסן תש"ן (20 באפריל 1990)</w:t>
      </w:r>
      <w:r>
        <w:rPr>
          <w:rtl/>
        </w:rPr>
        <w:tab/>
      </w:r>
      <w:r>
        <w:rPr>
          <w:rFonts w:hint="cs"/>
          <w:rtl/>
        </w:rPr>
        <w:t>יצחק שמיר</w:t>
      </w:r>
    </w:p>
    <w:p w:rsidR="00D41905" w:rsidRPr="007879F4" w:rsidRDefault="00D41905" w:rsidP="007879F4">
      <w:pPr>
        <w:pStyle w:val="sig-0"/>
        <w:spacing w:before="0"/>
        <w:ind w:left="0" w:right="1134"/>
        <w:rPr>
          <w:rFonts w:hint="cs"/>
          <w:sz w:val="22"/>
          <w:szCs w:val="22"/>
          <w:rtl/>
        </w:rPr>
      </w:pPr>
      <w:r w:rsidRPr="007879F4">
        <w:rPr>
          <w:sz w:val="22"/>
          <w:szCs w:val="22"/>
          <w:rtl/>
        </w:rPr>
        <w:tab/>
      </w:r>
      <w:r w:rsidRPr="007879F4">
        <w:rPr>
          <w:rFonts w:hint="cs"/>
          <w:sz w:val="22"/>
          <w:szCs w:val="22"/>
          <w:rtl/>
        </w:rPr>
        <w:t>ראש הממשלה ושר הבטחון</w:t>
      </w:r>
    </w:p>
    <w:p w:rsidR="007879F4" w:rsidRDefault="007879F4" w:rsidP="007879F4">
      <w:pPr>
        <w:pStyle w:val="P00"/>
        <w:spacing w:before="72"/>
        <w:ind w:left="0" w:right="1134"/>
        <w:rPr>
          <w:rFonts w:hint="cs"/>
          <w:rtl/>
        </w:rPr>
      </w:pPr>
    </w:p>
    <w:p w:rsidR="007879F4" w:rsidRDefault="007879F4" w:rsidP="007879F4">
      <w:pPr>
        <w:pStyle w:val="P00"/>
        <w:spacing w:before="72"/>
        <w:ind w:left="0" w:right="1134"/>
        <w:rPr>
          <w:rtl/>
        </w:rPr>
      </w:pPr>
    </w:p>
    <w:p w:rsidR="00D41905" w:rsidRDefault="00D41905" w:rsidP="007879F4">
      <w:pPr>
        <w:pStyle w:val="P00"/>
        <w:spacing w:before="72"/>
        <w:ind w:left="0" w:right="1134"/>
        <w:rPr>
          <w:rtl/>
        </w:rPr>
      </w:pPr>
      <w:bookmarkStart w:id="36" w:name="LawPartEnd"/>
    </w:p>
    <w:bookmarkEnd w:id="36"/>
    <w:p w:rsidR="00DB0984" w:rsidRDefault="00DB0984" w:rsidP="007879F4">
      <w:pPr>
        <w:pStyle w:val="P00"/>
        <w:spacing w:before="72"/>
        <w:ind w:left="0" w:right="1134"/>
        <w:rPr>
          <w:rtl/>
        </w:rPr>
      </w:pPr>
    </w:p>
    <w:p w:rsidR="00DB0984" w:rsidRDefault="00DB0984" w:rsidP="007879F4">
      <w:pPr>
        <w:pStyle w:val="P00"/>
        <w:spacing w:before="72"/>
        <w:ind w:left="0" w:right="1134"/>
        <w:rPr>
          <w:rtl/>
        </w:rPr>
      </w:pPr>
    </w:p>
    <w:p w:rsidR="00DB0984" w:rsidRDefault="00DB0984" w:rsidP="00DB0984">
      <w:pPr>
        <w:pStyle w:val="P00"/>
        <w:spacing w:before="72"/>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rsidR="00D41905" w:rsidRPr="00DB0984" w:rsidRDefault="00D41905" w:rsidP="00DB0984">
      <w:pPr>
        <w:pStyle w:val="P00"/>
        <w:spacing w:before="72"/>
        <w:ind w:left="0" w:right="1134"/>
        <w:jc w:val="center"/>
        <w:rPr>
          <w:rFonts w:cs="David"/>
          <w:color w:val="0000FF"/>
          <w:szCs w:val="24"/>
          <w:u w:val="single"/>
          <w:rtl/>
        </w:rPr>
      </w:pPr>
    </w:p>
    <w:sectPr w:rsidR="00D41905" w:rsidRPr="00DB098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5ABE" w:rsidRDefault="00ED5ABE">
      <w:r>
        <w:separator/>
      </w:r>
    </w:p>
  </w:endnote>
  <w:endnote w:type="continuationSeparator" w:id="0">
    <w:p w:rsidR="00ED5ABE" w:rsidRDefault="00ED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905" w:rsidRDefault="00D4190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41905" w:rsidRDefault="00D4190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41905" w:rsidRDefault="00D4190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984">
      <w:rPr>
        <w:rFonts w:cs="TopType Jerushalmi"/>
        <w:noProof/>
        <w:color w:val="000000"/>
        <w:sz w:val="14"/>
        <w:szCs w:val="14"/>
      </w:rPr>
      <w:t>Z:\00000000000000000000000=2014------------------------\05-May\2014-05-28\LawsForHofit\01\P199_074.doc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905" w:rsidRDefault="00D4190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B0984">
      <w:rPr>
        <w:rFonts w:hAnsi="FrankRuehl"/>
        <w:noProof/>
        <w:sz w:val="24"/>
        <w:szCs w:val="24"/>
        <w:rtl/>
      </w:rPr>
      <w:t>5</w:t>
    </w:r>
    <w:r>
      <w:rPr>
        <w:rFonts w:hAnsi="FrankRuehl"/>
        <w:sz w:val="24"/>
        <w:szCs w:val="24"/>
        <w:rtl/>
      </w:rPr>
      <w:fldChar w:fldCharType="end"/>
    </w:r>
  </w:p>
  <w:p w:rsidR="00D41905" w:rsidRDefault="00D4190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41905" w:rsidRDefault="00D4190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984">
      <w:rPr>
        <w:rFonts w:cs="TopType Jerushalmi"/>
        <w:noProof/>
        <w:color w:val="000000"/>
        <w:sz w:val="14"/>
        <w:szCs w:val="14"/>
      </w:rPr>
      <w:t>Z:\00000000000000000000000=2014------------------------\05-May\2014-05-28\LawsForHofit\01\P199_074.doc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5ABE" w:rsidRDefault="00ED5ABE" w:rsidP="007879F4">
      <w:pPr>
        <w:spacing w:before="60" w:line="240" w:lineRule="auto"/>
        <w:ind w:right="1134"/>
      </w:pPr>
      <w:r>
        <w:separator/>
      </w:r>
    </w:p>
  </w:footnote>
  <w:footnote w:type="continuationSeparator" w:id="0">
    <w:p w:rsidR="00ED5ABE" w:rsidRDefault="00ED5ABE">
      <w:r>
        <w:continuationSeparator/>
      </w:r>
    </w:p>
  </w:footnote>
  <w:footnote w:id="1">
    <w:p w:rsidR="007879F4" w:rsidRDefault="007879F4" w:rsidP="007879F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7879F4">
        <w:rPr>
          <w:rtl/>
        </w:rPr>
        <w:t>*</w:t>
      </w:r>
      <w:r>
        <w:rPr>
          <w:rtl/>
        </w:rPr>
        <w:t xml:space="preserve"> </w:t>
      </w:r>
      <w:r w:rsidRPr="007879F4">
        <w:rPr>
          <w:rtl/>
        </w:rPr>
        <w:t>פ</w:t>
      </w:r>
      <w:r w:rsidRPr="007879F4">
        <w:rPr>
          <w:rFonts w:hint="cs"/>
          <w:rtl/>
        </w:rPr>
        <w:t xml:space="preserve">ורסמו </w:t>
      </w:r>
      <w:hyperlink r:id="rId1" w:history="1">
        <w:r w:rsidRPr="007879F4">
          <w:rPr>
            <w:rStyle w:val="Hyperlink"/>
            <w:rFonts w:hint="cs"/>
            <w:rtl/>
          </w:rPr>
          <w:t>ק"ת תשנ"א מס' 5300</w:t>
        </w:r>
      </w:hyperlink>
      <w:r w:rsidRPr="007879F4">
        <w:rPr>
          <w:rFonts w:hint="cs"/>
          <w:rtl/>
        </w:rPr>
        <w:t xml:space="preserve"> מיום 22.10.1990 עמ' 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905" w:rsidRDefault="00D41905">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הקבע בצבא-הגנה לישראל (גימלאות) (כללים ומבחנים לקביעת דרגת נכות), תשנ"א–1990</w:t>
    </w:r>
  </w:p>
  <w:p w:rsidR="00D41905" w:rsidRDefault="00D4190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41905" w:rsidRDefault="00D4190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905" w:rsidRDefault="00D41905" w:rsidP="007879F4">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הקבע בצבא-הגנה לישראל (גימלאות) (כללים ומבחנים לקביעת דרגת נכות), תשנ"א</w:t>
    </w:r>
    <w:r w:rsidR="007879F4">
      <w:rPr>
        <w:rFonts w:hAnsi="FrankRuehl" w:hint="cs"/>
        <w:color w:val="000000"/>
        <w:sz w:val="28"/>
        <w:szCs w:val="28"/>
        <w:rtl/>
      </w:rPr>
      <w:t>-</w:t>
    </w:r>
    <w:r>
      <w:rPr>
        <w:rFonts w:hAnsi="FrankRuehl"/>
        <w:color w:val="000000"/>
        <w:sz w:val="28"/>
        <w:szCs w:val="28"/>
        <w:rtl/>
      </w:rPr>
      <w:t>1990</w:t>
    </w:r>
  </w:p>
  <w:p w:rsidR="00D41905" w:rsidRDefault="00D4190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41905" w:rsidRDefault="00D4190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20082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016F"/>
    <w:rsid w:val="00022724"/>
    <w:rsid w:val="000312B7"/>
    <w:rsid w:val="005A4E81"/>
    <w:rsid w:val="007879F4"/>
    <w:rsid w:val="00923473"/>
    <w:rsid w:val="00937240"/>
    <w:rsid w:val="00AD10E5"/>
    <w:rsid w:val="00C802D8"/>
    <w:rsid w:val="00D41905"/>
    <w:rsid w:val="00DB016F"/>
    <w:rsid w:val="00DB0984"/>
    <w:rsid w:val="00DF2B89"/>
    <w:rsid w:val="00ED5ABE"/>
    <w:rsid w:val="00F311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E334822-4170-4A22-A193-2FDAD8A2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DB016F"/>
    <w:rPr>
      <w:sz w:val="20"/>
      <w:szCs w:val="20"/>
    </w:rPr>
  </w:style>
  <w:style w:type="character" w:styleId="a6">
    <w:name w:val="footnote reference"/>
    <w:basedOn w:val="a0"/>
    <w:semiHidden/>
    <w:rsid w:val="00DB01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3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10511</CharactersWithSpaces>
  <SharedDoc>false</SharedDoc>
  <HLinks>
    <vt:vector size="204" baseType="variant">
      <vt:variant>
        <vt:i4>393283</vt:i4>
      </vt:variant>
      <vt:variant>
        <vt:i4>204</vt:i4>
      </vt:variant>
      <vt:variant>
        <vt:i4>0</vt:i4>
      </vt:variant>
      <vt:variant>
        <vt:i4>5</vt:i4>
      </vt:variant>
      <vt:variant>
        <vt:lpwstr>http://www.nevo.co.il/advertisements/nevo-100.doc</vt:lpwstr>
      </vt:variant>
      <vt:variant>
        <vt:lpwstr/>
      </vt:variant>
      <vt:variant>
        <vt:i4>5242889</vt:i4>
      </vt:variant>
      <vt:variant>
        <vt:i4>186</vt:i4>
      </vt:variant>
      <vt:variant>
        <vt:i4>0</vt:i4>
      </vt:variant>
      <vt:variant>
        <vt:i4>5</vt:i4>
      </vt:variant>
      <vt:variant>
        <vt:lpwstr/>
      </vt:variant>
      <vt:variant>
        <vt:lpwstr>med5</vt:lpwstr>
      </vt:variant>
      <vt:variant>
        <vt:i4>5701644</vt:i4>
      </vt:variant>
      <vt:variant>
        <vt:i4>180</vt:i4>
      </vt:variant>
      <vt:variant>
        <vt:i4>0</vt:i4>
      </vt:variant>
      <vt:variant>
        <vt:i4>5</vt:i4>
      </vt:variant>
      <vt:variant>
        <vt:lpwstr/>
      </vt:variant>
      <vt:variant>
        <vt:lpwstr>hed22</vt:lpwstr>
      </vt:variant>
      <vt:variant>
        <vt:i4>5701644</vt:i4>
      </vt:variant>
      <vt:variant>
        <vt:i4>174</vt:i4>
      </vt:variant>
      <vt:variant>
        <vt:i4>0</vt:i4>
      </vt:variant>
      <vt:variant>
        <vt:i4>5</vt:i4>
      </vt:variant>
      <vt:variant>
        <vt:lpwstr/>
      </vt:variant>
      <vt:variant>
        <vt:lpwstr>hed21</vt:lpwstr>
      </vt:variant>
      <vt:variant>
        <vt:i4>5701644</vt:i4>
      </vt:variant>
      <vt:variant>
        <vt:i4>168</vt:i4>
      </vt:variant>
      <vt:variant>
        <vt:i4>0</vt:i4>
      </vt:variant>
      <vt:variant>
        <vt:i4>5</vt:i4>
      </vt:variant>
      <vt:variant>
        <vt:lpwstr/>
      </vt:variant>
      <vt:variant>
        <vt:lpwstr>hed20</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5636105</vt:i4>
      </vt:variant>
      <vt:variant>
        <vt:i4>138</vt:i4>
      </vt:variant>
      <vt:variant>
        <vt:i4>0</vt:i4>
      </vt:variant>
      <vt:variant>
        <vt:i4>5</vt:i4>
      </vt:variant>
      <vt:variant>
        <vt:lpwstr/>
      </vt:variant>
      <vt:variant>
        <vt:lpwstr>med3</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8126475</vt:i4>
      </vt:variant>
      <vt:variant>
        <vt:i4>0</vt:i4>
      </vt:variant>
      <vt:variant>
        <vt:i4>0</vt:i4>
      </vt:variant>
      <vt:variant>
        <vt:i4>5</vt:i4>
      </vt:variant>
      <vt:variant>
        <vt:lpwstr>http://www.nevo.co.il/Law_word/law06/TAK-5300.pdf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(כללים ומבחנים לקביעת דרגת נכות), תשנ"א-1990</vt:lpwstr>
  </property>
  <property fmtid="{D5CDD505-2E9C-101B-9397-08002B2CF9AE}" pid="5" name="LAWNUMBER">
    <vt:lpwstr>0074</vt:lpwstr>
  </property>
  <property fmtid="{D5CDD505-2E9C-101B-9397-08002B2CF9AE}" pid="6" name="TYPE">
    <vt:lpwstr>01</vt:lpwstr>
  </property>
  <property fmtid="{D5CDD505-2E9C-101B-9397-08002B2CF9AE}" pid="7" name="MEKOR_NAME1">
    <vt:lpwstr>חוק שירות הקבע בצבא-הגנה לישראל (גימלאות) [נוסח משולב]</vt:lpwstr>
  </property>
  <property fmtid="{D5CDD505-2E9C-101B-9397-08002B2CF9AE}" pid="8" name="MEKOR_SAIF1">
    <vt:lpwstr>69X3X</vt:lpwstr>
  </property>
  <property fmtid="{D5CDD505-2E9C-101B-9397-08002B2CF9AE}" pid="9" name="NOSE11">
    <vt:lpwstr>בטחון</vt:lpwstr>
  </property>
  <property fmtid="{D5CDD505-2E9C-101B-9397-08002B2CF9AE}" pid="10" name="NOSE21">
    <vt:lpwstr>צה"ל</vt:lpwstr>
  </property>
  <property fmtid="{D5CDD505-2E9C-101B-9397-08002B2CF9AE}" pid="11" name="NOSE31">
    <vt:lpwstr>שרות קבע (גמלאות)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