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97B" w:rsidRDefault="00F6497B">
      <w:pPr>
        <w:pStyle w:val="big-header"/>
        <w:ind w:left="0" w:right="1134"/>
        <w:rPr>
          <w:rFonts w:hint="cs"/>
          <w:rtl/>
        </w:rPr>
      </w:pPr>
      <w:r>
        <w:rPr>
          <w:rtl/>
        </w:rPr>
        <w:t>תקנות שירות הקבע בצבא-הגנה לישראל (גימלאות) (ערעור בפני בית המשפט המחוזי), תשט"ז</w:t>
      </w:r>
      <w:r>
        <w:rPr>
          <w:rFonts w:hint="cs"/>
          <w:rtl/>
        </w:rPr>
        <w:t>-</w:t>
      </w:r>
      <w:r>
        <w:rPr>
          <w:rtl/>
        </w:rPr>
        <w:t>1956</w:t>
      </w:r>
    </w:p>
    <w:p w:rsidR="00F6497B" w:rsidRDefault="00F6497B">
      <w:pPr>
        <w:pStyle w:val="big-header"/>
        <w:ind w:left="0" w:right="1134"/>
        <w:rPr>
          <w:rFonts w:hint="cs"/>
          <w:color w:val="008000"/>
          <w:rtl/>
        </w:rPr>
      </w:pPr>
      <w:r>
        <w:rPr>
          <w:rFonts w:hint="cs"/>
          <w:color w:val="008000"/>
          <w:rtl/>
        </w:rPr>
        <w:t>רבדים בחקיקה</w:t>
      </w:r>
    </w:p>
    <w:p w:rsidR="001F63A7" w:rsidRPr="001F63A7" w:rsidRDefault="001F63A7" w:rsidP="001F63A7">
      <w:pPr>
        <w:spacing w:line="320" w:lineRule="auto"/>
        <w:jc w:val="left"/>
        <w:rPr>
          <w:rFonts w:cs="FrankRuehl"/>
          <w:szCs w:val="26"/>
          <w:rtl/>
        </w:rPr>
      </w:pPr>
    </w:p>
    <w:p w:rsidR="001F63A7" w:rsidRDefault="001F63A7" w:rsidP="001F63A7">
      <w:pPr>
        <w:spacing w:line="320" w:lineRule="auto"/>
        <w:jc w:val="left"/>
        <w:rPr>
          <w:rFonts w:cs="Miriam"/>
          <w:szCs w:val="22"/>
          <w:rtl/>
        </w:rPr>
      </w:pPr>
      <w:r w:rsidRPr="001F63A7">
        <w:rPr>
          <w:rFonts w:cs="Miriam"/>
          <w:szCs w:val="22"/>
          <w:rtl/>
        </w:rPr>
        <w:t>בטחון</w:t>
      </w:r>
      <w:r w:rsidRPr="001F63A7">
        <w:rPr>
          <w:rFonts w:cs="FrankRuehl"/>
          <w:szCs w:val="26"/>
          <w:rtl/>
        </w:rPr>
        <w:t xml:space="preserve"> – צה"ל – שרות קבע (גמלאות)</w:t>
      </w:r>
    </w:p>
    <w:p w:rsidR="00211C7C" w:rsidRPr="001F63A7" w:rsidRDefault="001F63A7" w:rsidP="001F63A7">
      <w:pPr>
        <w:spacing w:line="320" w:lineRule="auto"/>
        <w:jc w:val="left"/>
        <w:rPr>
          <w:rFonts w:cs="Miriam"/>
          <w:szCs w:val="22"/>
          <w:rtl/>
        </w:rPr>
      </w:pPr>
      <w:r w:rsidRPr="001F63A7">
        <w:rPr>
          <w:rFonts w:cs="Miriam"/>
          <w:szCs w:val="22"/>
          <w:rtl/>
        </w:rPr>
        <w:t>בתי משפט וסדרי דין</w:t>
      </w:r>
      <w:r w:rsidRPr="001F63A7">
        <w:rPr>
          <w:rFonts w:cs="FrankRuehl"/>
          <w:szCs w:val="26"/>
          <w:rtl/>
        </w:rPr>
        <w:t xml:space="preserve"> – סדר דין אזרחי – ערעור על ועדות</w:t>
      </w:r>
    </w:p>
    <w:p w:rsidR="00F6497B" w:rsidRDefault="00F6497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0" w:tooltip="המקום להגשת ערעור" w:history="1">
              <w:r>
                <w:rPr>
                  <w:rStyle w:val="Hyperlink"/>
                </w:rPr>
                <w:t>Go</w:t>
              </w:r>
            </w:hyperlink>
          </w:p>
        </w:tc>
        <w:tc>
          <w:tcPr>
            <w:tcW w:w="5669" w:type="dxa"/>
          </w:tcPr>
          <w:p w:rsidR="00F6497B" w:rsidRDefault="00F6497B">
            <w:pPr>
              <w:spacing w:line="240" w:lineRule="auto"/>
              <w:rPr>
                <w:sz w:val="24"/>
                <w:rtl/>
              </w:rPr>
            </w:pPr>
            <w:r>
              <w:rPr>
                <w:sz w:val="24"/>
                <w:rtl/>
              </w:rPr>
              <w:t>המקום להגשת ערעור</w:t>
            </w:r>
          </w:p>
        </w:tc>
        <w:tc>
          <w:tcPr>
            <w:tcW w:w="1247" w:type="dxa"/>
          </w:tcPr>
          <w:p w:rsidR="00F6497B" w:rsidRDefault="00F6497B">
            <w:pPr>
              <w:spacing w:line="240" w:lineRule="auto"/>
              <w:rPr>
                <w:sz w:val="24"/>
              </w:rPr>
            </w:pPr>
            <w:r>
              <w:rPr>
                <w:sz w:val="24"/>
                <w:rtl/>
              </w:rPr>
              <w:t xml:space="preserve">סעיף 1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1" w:tooltip="אופן הגשה" w:history="1">
              <w:r>
                <w:rPr>
                  <w:rStyle w:val="Hyperlink"/>
                </w:rPr>
                <w:t>Go</w:t>
              </w:r>
            </w:hyperlink>
          </w:p>
        </w:tc>
        <w:tc>
          <w:tcPr>
            <w:tcW w:w="5669" w:type="dxa"/>
          </w:tcPr>
          <w:p w:rsidR="00F6497B" w:rsidRDefault="00F6497B">
            <w:pPr>
              <w:spacing w:line="240" w:lineRule="auto"/>
              <w:rPr>
                <w:sz w:val="24"/>
                <w:rtl/>
              </w:rPr>
            </w:pPr>
            <w:r>
              <w:rPr>
                <w:sz w:val="24"/>
                <w:rtl/>
              </w:rPr>
              <w:t>אופן הגשה</w:t>
            </w:r>
          </w:p>
        </w:tc>
        <w:tc>
          <w:tcPr>
            <w:tcW w:w="1247" w:type="dxa"/>
          </w:tcPr>
          <w:p w:rsidR="00F6497B" w:rsidRDefault="00F6497B">
            <w:pPr>
              <w:spacing w:line="240" w:lineRule="auto"/>
              <w:rPr>
                <w:sz w:val="24"/>
              </w:rPr>
            </w:pPr>
            <w:r>
              <w:rPr>
                <w:sz w:val="24"/>
                <w:rtl/>
              </w:rPr>
              <w:t xml:space="preserve">סעיף 2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2" w:tooltip="צירוף העתקי ההחלטה" w:history="1">
              <w:r>
                <w:rPr>
                  <w:rStyle w:val="Hyperlink"/>
                </w:rPr>
                <w:t>Go</w:t>
              </w:r>
            </w:hyperlink>
          </w:p>
        </w:tc>
        <w:tc>
          <w:tcPr>
            <w:tcW w:w="5669" w:type="dxa"/>
          </w:tcPr>
          <w:p w:rsidR="00F6497B" w:rsidRDefault="00F6497B">
            <w:pPr>
              <w:spacing w:line="240" w:lineRule="auto"/>
              <w:rPr>
                <w:sz w:val="24"/>
                <w:rtl/>
              </w:rPr>
            </w:pPr>
            <w:r>
              <w:rPr>
                <w:sz w:val="24"/>
                <w:rtl/>
              </w:rPr>
              <w:t>צירוף העתקי ההחלטה</w:t>
            </w:r>
          </w:p>
        </w:tc>
        <w:tc>
          <w:tcPr>
            <w:tcW w:w="1247" w:type="dxa"/>
          </w:tcPr>
          <w:p w:rsidR="00F6497B" w:rsidRDefault="00F6497B">
            <w:pPr>
              <w:spacing w:line="240" w:lineRule="auto"/>
              <w:rPr>
                <w:sz w:val="24"/>
              </w:rPr>
            </w:pPr>
            <w:r>
              <w:rPr>
                <w:sz w:val="24"/>
                <w:rtl/>
              </w:rPr>
              <w:t xml:space="preserve">סעיף 3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3" w:tooltip="פרטי כתב הערעור" w:history="1">
              <w:r>
                <w:rPr>
                  <w:rStyle w:val="Hyperlink"/>
                </w:rPr>
                <w:t>Go</w:t>
              </w:r>
            </w:hyperlink>
          </w:p>
        </w:tc>
        <w:tc>
          <w:tcPr>
            <w:tcW w:w="5669" w:type="dxa"/>
          </w:tcPr>
          <w:p w:rsidR="00F6497B" w:rsidRDefault="00F6497B">
            <w:pPr>
              <w:spacing w:line="240" w:lineRule="auto"/>
              <w:rPr>
                <w:sz w:val="24"/>
                <w:rtl/>
              </w:rPr>
            </w:pPr>
            <w:r>
              <w:rPr>
                <w:sz w:val="24"/>
                <w:rtl/>
              </w:rPr>
              <w:t>פרטי כתב הערעור</w:t>
            </w:r>
          </w:p>
        </w:tc>
        <w:tc>
          <w:tcPr>
            <w:tcW w:w="1247" w:type="dxa"/>
          </w:tcPr>
          <w:p w:rsidR="00F6497B" w:rsidRDefault="00F6497B">
            <w:pPr>
              <w:spacing w:line="240" w:lineRule="auto"/>
              <w:rPr>
                <w:sz w:val="24"/>
              </w:rPr>
            </w:pPr>
            <w:r>
              <w:rPr>
                <w:sz w:val="24"/>
                <w:rtl/>
              </w:rPr>
              <w:t xml:space="preserve">סעיף 4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4" w:tooltip="ציון המשיב" w:history="1">
              <w:r>
                <w:rPr>
                  <w:rStyle w:val="Hyperlink"/>
                </w:rPr>
                <w:t>Go</w:t>
              </w:r>
            </w:hyperlink>
          </w:p>
        </w:tc>
        <w:tc>
          <w:tcPr>
            <w:tcW w:w="5669" w:type="dxa"/>
          </w:tcPr>
          <w:p w:rsidR="00F6497B" w:rsidRDefault="00F6497B">
            <w:pPr>
              <w:spacing w:line="240" w:lineRule="auto"/>
              <w:rPr>
                <w:sz w:val="24"/>
                <w:rtl/>
              </w:rPr>
            </w:pPr>
            <w:r>
              <w:rPr>
                <w:sz w:val="24"/>
                <w:rtl/>
              </w:rPr>
              <w:t>ציון המשיב</w:t>
            </w:r>
          </w:p>
        </w:tc>
        <w:tc>
          <w:tcPr>
            <w:tcW w:w="1247" w:type="dxa"/>
          </w:tcPr>
          <w:p w:rsidR="00F6497B" w:rsidRDefault="00F6497B">
            <w:pPr>
              <w:spacing w:line="240" w:lineRule="auto"/>
              <w:rPr>
                <w:sz w:val="24"/>
              </w:rPr>
            </w:pPr>
            <w:r>
              <w:rPr>
                <w:sz w:val="24"/>
                <w:rtl/>
              </w:rPr>
              <w:t xml:space="preserve">סעיף 5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5" w:tooltip="מסירת העתק" w:history="1">
              <w:r>
                <w:rPr>
                  <w:rStyle w:val="Hyperlink"/>
                </w:rPr>
                <w:t>Go</w:t>
              </w:r>
            </w:hyperlink>
          </w:p>
        </w:tc>
        <w:tc>
          <w:tcPr>
            <w:tcW w:w="5669" w:type="dxa"/>
          </w:tcPr>
          <w:p w:rsidR="00F6497B" w:rsidRDefault="00F6497B">
            <w:pPr>
              <w:spacing w:line="240" w:lineRule="auto"/>
              <w:rPr>
                <w:sz w:val="24"/>
                <w:rtl/>
              </w:rPr>
            </w:pPr>
            <w:r>
              <w:rPr>
                <w:sz w:val="24"/>
                <w:rtl/>
              </w:rPr>
              <w:t>מסירת העתק</w:t>
            </w:r>
          </w:p>
        </w:tc>
        <w:tc>
          <w:tcPr>
            <w:tcW w:w="1247" w:type="dxa"/>
          </w:tcPr>
          <w:p w:rsidR="00F6497B" w:rsidRDefault="00F6497B">
            <w:pPr>
              <w:spacing w:line="240" w:lineRule="auto"/>
              <w:rPr>
                <w:sz w:val="24"/>
              </w:rPr>
            </w:pPr>
            <w:r>
              <w:rPr>
                <w:sz w:val="24"/>
                <w:rtl/>
              </w:rPr>
              <w:t xml:space="preserve">סעיף 6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6" w:tooltip="תשובת המשיב" w:history="1">
              <w:r>
                <w:rPr>
                  <w:rStyle w:val="Hyperlink"/>
                </w:rPr>
                <w:t>Go</w:t>
              </w:r>
            </w:hyperlink>
          </w:p>
        </w:tc>
        <w:tc>
          <w:tcPr>
            <w:tcW w:w="5669" w:type="dxa"/>
          </w:tcPr>
          <w:p w:rsidR="00F6497B" w:rsidRDefault="00F6497B">
            <w:pPr>
              <w:spacing w:line="240" w:lineRule="auto"/>
              <w:rPr>
                <w:sz w:val="24"/>
                <w:rtl/>
              </w:rPr>
            </w:pPr>
            <w:r>
              <w:rPr>
                <w:sz w:val="24"/>
                <w:rtl/>
              </w:rPr>
              <w:t>תשובת המשיב</w:t>
            </w:r>
          </w:p>
        </w:tc>
        <w:tc>
          <w:tcPr>
            <w:tcW w:w="1247" w:type="dxa"/>
          </w:tcPr>
          <w:p w:rsidR="00F6497B" w:rsidRDefault="00F6497B">
            <w:pPr>
              <w:spacing w:line="240" w:lineRule="auto"/>
              <w:rPr>
                <w:sz w:val="24"/>
              </w:rPr>
            </w:pPr>
            <w:r>
              <w:rPr>
                <w:sz w:val="24"/>
                <w:rtl/>
              </w:rPr>
              <w:t xml:space="preserve">סעיף 7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7" w:tooltip="פסול כתב הערעור" w:history="1">
              <w:r>
                <w:rPr>
                  <w:rStyle w:val="Hyperlink"/>
                </w:rPr>
                <w:t>Go</w:t>
              </w:r>
            </w:hyperlink>
          </w:p>
        </w:tc>
        <w:tc>
          <w:tcPr>
            <w:tcW w:w="5669" w:type="dxa"/>
          </w:tcPr>
          <w:p w:rsidR="00F6497B" w:rsidRDefault="00F6497B">
            <w:pPr>
              <w:spacing w:line="240" w:lineRule="auto"/>
              <w:rPr>
                <w:sz w:val="24"/>
                <w:rtl/>
              </w:rPr>
            </w:pPr>
            <w:r>
              <w:rPr>
                <w:sz w:val="24"/>
                <w:rtl/>
              </w:rPr>
              <w:t>פסול כתב הערעור</w:t>
            </w:r>
          </w:p>
        </w:tc>
        <w:tc>
          <w:tcPr>
            <w:tcW w:w="1247" w:type="dxa"/>
          </w:tcPr>
          <w:p w:rsidR="00F6497B" w:rsidRDefault="00F6497B">
            <w:pPr>
              <w:spacing w:line="240" w:lineRule="auto"/>
              <w:rPr>
                <w:sz w:val="24"/>
              </w:rPr>
            </w:pPr>
            <w:r>
              <w:rPr>
                <w:sz w:val="24"/>
                <w:rtl/>
              </w:rPr>
              <w:t xml:space="preserve">סעיף 8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6497B" w:rsidRDefault="00F6497B">
            <w:pPr>
              <w:spacing w:line="240" w:lineRule="auto"/>
              <w:rPr>
                <w:sz w:val="24"/>
              </w:rPr>
            </w:pPr>
            <w:hyperlink w:anchor="Seif8" w:tooltip="קביעת מועד לשמיעת הערעור" w:history="1">
              <w:r>
                <w:rPr>
                  <w:rStyle w:val="Hyperlink"/>
                </w:rPr>
                <w:t>Go</w:t>
              </w:r>
            </w:hyperlink>
          </w:p>
        </w:tc>
        <w:tc>
          <w:tcPr>
            <w:tcW w:w="5669" w:type="dxa"/>
          </w:tcPr>
          <w:p w:rsidR="00F6497B" w:rsidRDefault="00F6497B">
            <w:pPr>
              <w:spacing w:line="240" w:lineRule="auto"/>
              <w:rPr>
                <w:sz w:val="24"/>
                <w:rtl/>
              </w:rPr>
            </w:pPr>
            <w:r>
              <w:rPr>
                <w:sz w:val="24"/>
                <w:rtl/>
              </w:rPr>
              <w:t>קביעת מועד לשמיעת הערעור</w:t>
            </w:r>
          </w:p>
        </w:tc>
        <w:tc>
          <w:tcPr>
            <w:tcW w:w="1247" w:type="dxa"/>
          </w:tcPr>
          <w:p w:rsidR="00F6497B" w:rsidRDefault="00F6497B">
            <w:pPr>
              <w:spacing w:line="240" w:lineRule="auto"/>
              <w:rPr>
                <w:sz w:val="24"/>
              </w:rPr>
            </w:pPr>
            <w:r>
              <w:rPr>
                <w:sz w:val="24"/>
                <w:rtl/>
              </w:rPr>
              <w:t xml:space="preserve">סעיף 9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9" w:tooltip="העברת התיק של ועדת הערעורים" w:history="1">
              <w:r>
                <w:rPr>
                  <w:rStyle w:val="Hyperlink"/>
                </w:rPr>
                <w:t>Go</w:t>
              </w:r>
            </w:hyperlink>
          </w:p>
        </w:tc>
        <w:tc>
          <w:tcPr>
            <w:tcW w:w="5669" w:type="dxa"/>
          </w:tcPr>
          <w:p w:rsidR="00F6497B" w:rsidRDefault="00F6497B">
            <w:pPr>
              <w:spacing w:line="240" w:lineRule="auto"/>
              <w:rPr>
                <w:sz w:val="24"/>
                <w:rtl/>
              </w:rPr>
            </w:pPr>
            <w:r>
              <w:rPr>
                <w:sz w:val="24"/>
                <w:rtl/>
              </w:rPr>
              <w:t>העברת התיק של ועדת הערעורים</w:t>
            </w:r>
          </w:p>
        </w:tc>
        <w:tc>
          <w:tcPr>
            <w:tcW w:w="1247" w:type="dxa"/>
          </w:tcPr>
          <w:p w:rsidR="00F6497B" w:rsidRDefault="00F6497B">
            <w:pPr>
              <w:spacing w:line="240" w:lineRule="auto"/>
              <w:rPr>
                <w:sz w:val="24"/>
              </w:rPr>
            </w:pPr>
            <w:r>
              <w:rPr>
                <w:sz w:val="24"/>
                <w:rtl/>
              </w:rPr>
              <w:t xml:space="preserve">סעיף 10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0" w:tooltip="ייצוג התובע בפני בית המשפט" w:history="1">
              <w:r>
                <w:rPr>
                  <w:rStyle w:val="Hyperlink"/>
                </w:rPr>
                <w:t>Go</w:t>
              </w:r>
            </w:hyperlink>
          </w:p>
        </w:tc>
        <w:tc>
          <w:tcPr>
            <w:tcW w:w="5669" w:type="dxa"/>
          </w:tcPr>
          <w:p w:rsidR="00F6497B" w:rsidRDefault="00F6497B">
            <w:pPr>
              <w:spacing w:line="240" w:lineRule="auto"/>
              <w:rPr>
                <w:sz w:val="24"/>
                <w:rtl/>
              </w:rPr>
            </w:pPr>
            <w:r>
              <w:rPr>
                <w:sz w:val="24"/>
                <w:rtl/>
              </w:rPr>
              <w:t>ייצוג התובע בפני בית המשפט</w:t>
            </w:r>
          </w:p>
        </w:tc>
        <w:tc>
          <w:tcPr>
            <w:tcW w:w="1247" w:type="dxa"/>
          </w:tcPr>
          <w:p w:rsidR="00F6497B" w:rsidRDefault="00F6497B">
            <w:pPr>
              <w:spacing w:line="240" w:lineRule="auto"/>
              <w:rPr>
                <w:sz w:val="24"/>
              </w:rPr>
            </w:pPr>
            <w:r>
              <w:rPr>
                <w:sz w:val="24"/>
                <w:rtl/>
              </w:rPr>
              <w:t xml:space="preserve">סעיף 11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1" w:tooltip="תחולת תקנות הפרוצידורה האזרחית" w:history="1">
              <w:r>
                <w:rPr>
                  <w:rStyle w:val="Hyperlink"/>
                </w:rPr>
                <w:t>Go</w:t>
              </w:r>
            </w:hyperlink>
          </w:p>
        </w:tc>
        <w:tc>
          <w:tcPr>
            <w:tcW w:w="5669" w:type="dxa"/>
          </w:tcPr>
          <w:p w:rsidR="00F6497B" w:rsidRDefault="00F6497B">
            <w:pPr>
              <w:spacing w:line="240" w:lineRule="auto"/>
              <w:rPr>
                <w:sz w:val="24"/>
                <w:rtl/>
              </w:rPr>
            </w:pPr>
            <w:r>
              <w:rPr>
                <w:sz w:val="24"/>
                <w:rtl/>
              </w:rPr>
              <w:t>תחולת תקנות הפרוצידורה האזרחית</w:t>
            </w:r>
          </w:p>
        </w:tc>
        <w:tc>
          <w:tcPr>
            <w:tcW w:w="1247" w:type="dxa"/>
          </w:tcPr>
          <w:p w:rsidR="00F6497B" w:rsidRDefault="00F6497B">
            <w:pPr>
              <w:spacing w:line="240" w:lineRule="auto"/>
              <w:rPr>
                <w:sz w:val="24"/>
              </w:rPr>
            </w:pPr>
            <w:r>
              <w:rPr>
                <w:sz w:val="24"/>
                <w:rtl/>
              </w:rPr>
              <w:t xml:space="preserve">סעיף 12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2" w:tooltip="הדיון מוגבל לנימוקים בכתב" w:history="1">
              <w:r>
                <w:rPr>
                  <w:rStyle w:val="Hyperlink"/>
                </w:rPr>
                <w:t>Go</w:t>
              </w:r>
            </w:hyperlink>
          </w:p>
        </w:tc>
        <w:tc>
          <w:tcPr>
            <w:tcW w:w="5669" w:type="dxa"/>
          </w:tcPr>
          <w:p w:rsidR="00F6497B" w:rsidRDefault="00F6497B">
            <w:pPr>
              <w:spacing w:line="240" w:lineRule="auto"/>
              <w:rPr>
                <w:sz w:val="24"/>
                <w:rtl/>
              </w:rPr>
            </w:pPr>
            <w:r>
              <w:rPr>
                <w:sz w:val="24"/>
                <w:rtl/>
              </w:rPr>
              <w:t>הדיון מוגבל לנימוקים בכתב</w:t>
            </w:r>
          </w:p>
        </w:tc>
        <w:tc>
          <w:tcPr>
            <w:tcW w:w="1247" w:type="dxa"/>
          </w:tcPr>
          <w:p w:rsidR="00F6497B" w:rsidRDefault="00F6497B">
            <w:pPr>
              <w:spacing w:line="240" w:lineRule="auto"/>
              <w:rPr>
                <w:sz w:val="24"/>
              </w:rPr>
            </w:pPr>
            <w:r>
              <w:rPr>
                <w:sz w:val="24"/>
                <w:rtl/>
              </w:rPr>
              <w:t xml:space="preserve">סעיף 13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3" w:tooltip="ביטול הערעור" w:history="1">
              <w:r>
                <w:rPr>
                  <w:rStyle w:val="Hyperlink"/>
                </w:rPr>
                <w:t>Go</w:t>
              </w:r>
            </w:hyperlink>
          </w:p>
        </w:tc>
        <w:tc>
          <w:tcPr>
            <w:tcW w:w="5669" w:type="dxa"/>
          </w:tcPr>
          <w:p w:rsidR="00F6497B" w:rsidRDefault="00F6497B">
            <w:pPr>
              <w:spacing w:line="240" w:lineRule="auto"/>
              <w:rPr>
                <w:sz w:val="24"/>
                <w:rtl/>
              </w:rPr>
            </w:pPr>
            <w:r>
              <w:rPr>
                <w:sz w:val="24"/>
                <w:rtl/>
              </w:rPr>
              <w:t>ביטול הערעור</w:t>
            </w:r>
          </w:p>
        </w:tc>
        <w:tc>
          <w:tcPr>
            <w:tcW w:w="1247" w:type="dxa"/>
          </w:tcPr>
          <w:p w:rsidR="00F6497B" w:rsidRDefault="00F6497B">
            <w:pPr>
              <w:spacing w:line="240" w:lineRule="auto"/>
              <w:rPr>
                <w:sz w:val="24"/>
              </w:rPr>
            </w:pPr>
            <w:r>
              <w:rPr>
                <w:sz w:val="24"/>
                <w:rtl/>
              </w:rPr>
              <w:t xml:space="preserve">סעיף 14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4" w:tooltip="פסק דין על פי החומר שבכתב" w:history="1">
              <w:r>
                <w:rPr>
                  <w:rStyle w:val="Hyperlink"/>
                </w:rPr>
                <w:t>Go</w:t>
              </w:r>
            </w:hyperlink>
          </w:p>
        </w:tc>
        <w:tc>
          <w:tcPr>
            <w:tcW w:w="5669" w:type="dxa"/>
          </w:tcPr>
          <w:p w:rsidR="00F6497B" w:rsidRDefault="00F6497B">
            <w:pPr>
              <w:spacing w:line="240" w:lineRule="auto"/>
              <w:rPr>
                <w:sz w:val="24"/>
                <w:rtl/>
              </w:rPr>
            </w:pPr>
            <w:r>
              <w:rPr>
                <w:sz w:val="24"/>
                <w:rtl/>
              </w:rPr>
              <w:t>פסק דין על פי החומר שבכתב</w:t>
            </w:r>
          </w:p>
        </w:tc>
        <w:tc>
          <w:tcPr>
            <w:tcW w:w="1247" w:type="dxa"/>
          </w:tcPr>
          <w:p w:rsidR="00F6497B" w:rsidRDefault="00F6497B">
            <w:pPr>
              <w:spacing w:line="240" w:lineRule="auto"/>
              <w:rPr>
                <w:sz w:val="24"/>
              </w:rPr>
            </w:pPr>
            <w:r>
              <w:rPr>
                <w:sz w:val="24"/>
                <w:rtl/>
              </w:rPr>
              <w:t xml:space="preserve">סעיף 15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5" w:tooltip="מסירת הודעות" w:history="1">
              <w:r>
                <w:rPr>
                  <w:rStyle w:val="Hyperlink"/>
                </w:rPr>
                <w:t>Go</w:t>
              </w:r>
            </w:hyperlink>
          </w:p>
        </w:tc>
        <w:tc>
          <w:tcPr>
            <w:tcW w:w="5669" w:type="dxa"/>
          </w:tcPr>
          <w:p w:rsidR="00F6497B" w:rsidRDefault="00F6497B">
            <w:pPr>
              <w:spacing w:line="240" w:lineRule="auto"/>
              <w:rPr>
                <w:sz w:val="24"/>
                <w:rtl/>
              </w:rPr>
            </w:pPr>
            <w:r>
              <w:rPr>
                <w:sz w:val="24"/>
                <w:rtl/>
              </w:rPr>
              <w:t>מסירת הודעות</w:t>
            </w:r>
          </w:p>
        </w:tc>
        <w:tc>
          <w:tcPr>
            <w:tcW w:w="1247" w:type="dxa"/>
          </w:tcPr>
          <w:p w:rsidR="00F6497B" w:rsidRDefault="00F6497B">
            <w:pPr>
              <w:spacing w:line="240" w:lineRule="auto"/>
              <w:rPr>
                <w:sz w:val="24"/>
              </w:rPr>
            </w:pPr>
            <w:r>
              <w:rPr>
                <w:sz w:val="24"/>
                <w:rtl/>
              </w:rPr>
              <w:t xml:space="preserve">סעיף 16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6" w:tooltip="דין החלטה של הרמטכל או של מי שהוסמך על ידיו" w:history="1">
              <w:r>
                <w:rPr>
                  <w:rStyle w:val="Hyperlink"/>
                </w:rPr>
                <w:t>Go</w:t>
              </w:r>
            </w:hyperlink>
          </w:p>
        </w:tc>
        <w:tc>
          <w:tcPr>
            <w:tcW w:w="5669" w:type="dxa"/>
          </w:tcPr>
          <w:p w:rsidR="00F6497B" w:rsidRDefault="00F6497B">
            <w:pPr>
              <w:spacing w:line="240" w:lineRule="auto"/>
              <w:rPr>
                <w:sz w:val="24"/>
                <w:rtl/>
              </w:rPr>
            </w:pPr>
            <w:r>
              <w:rPr>
                <w:sz w:val="24"/>
                <w:rtl/>
              </w:rPr>
              <w:t>דין החלטה של הרמטכל או של מי שהוסמך על ידיו</w:t>
            </w:r>
          </w:p>
        </w:tc>
        <w:tc>
          <w:tcPr>
            <w:tcW w:w="1247" w:type="dxa"/>
          </w:tcPr>
          <w:p w:rsidR="00F6497B" w:rsidRDefault="00F6497B">
            <w:pPr>
              <w:spacing w:line="240" w:lineRule="auto"/>
              <w:rPr>
                <w:sz w:val="24"/>
              </w:rPr>
            </w:pPr>
            <w:r>
              <w:rPr>
                <w:sz w:val="24"/>
                <w:rtl/>
              </w:rPr>
              <w:t xml:space="preserve">סעיף 17 </w:t>
            </w:r>
          </w:p>
        </w:tc>
      </w:tr>
      <w:tr w:rsidR="00F6497B">
        <w:tblPrEx>
          <w:tblCellMar>
            <w:top w:w="0" w:type="dxa"/>
            <w:bottom w:w="0" w:type="dxa"/>
          </w:tblCellMar>
        </w:tblPrEx>
        <w:tc>
          <w:tcPr>
            <w:tcW w:w="850" w:type="dxa"/>
          </w:tcPr>
          <w:p w:rsidR="00F6497B" w:rsidRDefault="00F6497B">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6497B" w:rsidRDefault="00F6497B">
            <w:pPr>
              <w:spacing w:line="240" w:lineRule="auto"/>
              <w:rPr>
                <w:sz w:val="24"/>
              </w:rPr>
            </w:pPr>
            <w:hyperlink w:anchor="Seif17" w:tooltip="השם" w:history="1">
              <w:r>
                <w:rPr>
                  <w:rStyle w:val="Hyperlink"/>
                </w:rPr>
                <w:t>Go</w:t>
              </w:r>
            </w:hyperlink>
          </w:p>
        </w:tc>
        <w:tc>
          <w:tcPr>
            <w:tcW w:w="5669" w:type="dxa"/>
          </w:tcPr>
          <w:p w:rsidR="00F6497B" w:rsidRDefault="00F6497B">
            <w:pPr>
              <w:spacing w:line="240" w:lineRule="auto"/>
              <w:rPr>
                <w:sz w:val="24"/>
                <w:rtl/>
              </w:rPr>
            </w:pPr>
            <w:r>
              <w:rPr>
                <w:sz w:val="24"/>
                <w:rtl/>
              </w:rPr>
              <w:t>השם</w:t>
            </w:r>
          </w:p>
        </w:tc>
        <w:tc>
          <w:tcPr>
            <w:tcW w:w="1247" w:type="dxa"/>
          </w:tcPr>
          <w:p w:rsidR="00F6497B" w:rsidRDefault="00F6497B">
            <w:pPr>
              <w:spacing w:line="240" w:lineRule="auto"/>
              <w:rPr>
                <w:sz w:val="24"/>
              </w:rPr>
            </w:pPr>
            <w:r>
              <w:rPr>
                <w:sz w:val="24"/>
                <w:rtl/>
              </w:rPr>
              <w:t xml:space="preserve">סעיף 18 </w:t>
            </w:r>
          </w:p>
        </w:tc>
      </w:tr>
    </w:tbl>
    <w:p w:rsidR="00F6497B" w:rsidRDefault="00F6497B">
      <w:pPr>
        <w:pStyle w:val="big-header"/>
        <w:ind w:left="0" w:right="1134"/>
        <w:rPr>
          <w:rtl/>
        </w:rPr>
      </w:pPr>
    </w:p>
    <w:p w:rsidR="00F6497B" w:rsidRPr="00211C7C" w:rsidRDefault="00F6497B" w:rsidP="00211C7C">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(ערעור בפני בית המשפט המחוזי), תשט"ז-1956</w:t>
      </w:r>
      <w:r>
        <w:rPr>
          <w:rStyle w:val="default"/>
          <w:rtl/>
        </w:rPr>
        <w:footnoteReference w:customMarkFollows="1" w:id="1"/>
        <w:t>*</w:t>
      </w:r>
    </w:p>
    <w:p w:rsidR="00F6497B" w:rsidRDefault="00F6497B">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בתוקף סמכותי לפי סעיף 37(ג) לחוק שירות הקבע בצבא-הגנה לישראל (גימלאות), תשי"ד-1954, סעיף 22 לפקודת בתי המשפט, 1940, סעיף 19 לפקודת הרשמים, 1936, וסעיף 10 (א) לפקודת בתי משפט (הוראות מעבר), תש"ח-1948, אני מתקין תקנות אלה:</w:t>
      </w:r>
    </w:p>
    <w:p w:rsidR="00F6497B" w:rsidRDefault="00F6497B">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6pt;z-index:251649024"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ה</w:t>
                  </w:r>
                  <w:r>
                    <w:rPr>
                      <w:rFonts w:cs="Miriam" w:hint="cs"/>
                      <w:szCs w:val="18"/>
                      <w:rtl/>
                    </w:rPr>
                    <w:t xml:space="preserve">מקום להגשת </w:t>
                  </w:r>
                  <w:r>
                    <w:rPr>
                      <w:rFonts w:cs="Miriam"/>
                      <w:szCs w:val="18"/>
                      <w:rtl/>
                    </w:rPr>
                    <w:t>ע</w:t>
                  </w:r>
                  <w:r>
                    <w:rPr>
                      <w:rFonts w:cs="Miriam" w:hint="cs"/>
                      <w:szCs w:val="18"/>
                      <w:rtl/>
                    </w:rPr>
                    <w:t>רעור</w:t>
                  </w:r>
                </w:p>
              </w:txbxContent>
            </v:textbox>
            <w10:anchorlock/>
          </v:rect>
        </w:pict>
      </w:r>
      <w:r>
        <w:rPr>
          <w:rStyle w:val="big-number"/>
          <w:rtl/>
        </w:rPr>
        <w:t>1.</w:t>
      </w:r>
      <w:r>
        <w:rPr>
          <w:rStyle w:val="big-number"/>
          <w:rtl/>
        </w:rPr>
        <w:tab/>
      </w:r>
      <w:r>
        <w:rPr>
          <w:rStyle w:val="default"/>
          <w:rFonts w:cs="FrankRuehl"/>
          <w:rtl/>
        </w:rPr>
        <w:t>ע</w:t>
      </w:r>
      <w:r>
        <w:rPr>
          <w:rStyle w:val="default"/>
          <w:rFonts w:cs="FrankRuehl" w:hint="cs"/>
          <w:rtl/>
        </w:rPr>
        <w:t>רעור על החלטת ועדת ערעור שניתנה לפי סעיף 36 לחוק (להלן - הערעור), יש להגיש לבית המשפט ה</w:t>
      </w:r>
      <w:r>
        <w:rPr>
          <w:rStyle w:val="default"/>
          <w:rFonts w:cs="FrankRuehl"/>
          <w:rtl/>
        </w:rPr>
        <w:t>מ</w:t>
      </w:r>
      <w:r>
        <w:rPr>
          <w:rStyle w:val="default"/>
          <w:rFonts w:cs="FrankRuehl" w:hint="cs"/>
          <w:rtl/>
        </w:rPr>
        <w:t>חוזי בירושלים (להלן - בית המשפט).</w:t>
      </w:r>
    </w:p>
    <w:p w:rsidR="00F6497B" w:rsidRDefault="00F6497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65pt;z-index:251650048"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א</w:t>
                  </w:r>
                  <w:r>
                    <w:rPr>
                      <w:rFonts w:cs="Miriam" w:hint="cs"/>
                      <w:szCs w:val="18"/>
                      <w:rtl/>
                    </w:rPr>
                    <w:t>ופן ה</w:t>
                  </w:r>
                  <w:r>
                    <w:rPr>
                      <w:rFonts w:cs="Miriam"/>
                      <w:szCs w:val="18"/>
                      <w:rtl/>
                    </w:rPr>
                    <w:t>ג</w:t>
                  </w:r>
                  <w:r>
                    <w:rPr>
                      <w:rFonts w:cs="Miriam" w:hint="cs"/>
                      <w:szCs w:val="18"/>
                      <w:rtl/>
                    </w:rPr>
                    <w:t>שה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ערעור יהיה בכתב, יוגש בחמישה העתקים למשרד הרישום של בית המשפט וייחתם ביד המערער או בא כוחו.</w:t>
      </w:r>
    </w:p>
    <w:p w:rsidR="00F6497B" w:rsidRDefault="00F6497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1072"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צ</w:t>
                  </w:r>
                  <w:r>
                    <w:rPr>
                      <w:rFonts w:cs="Miriam" w:hint="cs"/>
                      <w:szCs w:val="18"/>
                      <w:rtl/>
                    </w:rPr>
                    <w:t xml:space="preserve">ירוף העתקי </w:t>
                  </w:r>
                  <w:r>
                    <w:rPr>
                      <w:rFonts w:cs="Miriam"/>
                      <w:szCs w:val="18"/>
                      <w:rtl/>
                    </w:rPr>
                    <w:t>ה</w:t>
                  </w:r>
                  <w:r>
                    <w:rPr>
                      <w:rFonts w:cs="Miriam" w:hint="cs"/>
                      <w:szCs w:val="18"/>
                      <w:rtl/>
                    </w:rPr>
                    <w:t>החלטה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כתב הערעור יצורפו שלושה העתקים מהחלטת ועדת הערעור.</w:t>
      </w:r>
    </w:p>
    <w:p w:rsidR="00F6497B" w:rsidRDefault="00F6497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6pt;z-index:251652096"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פ</w:t>
                  </w:r>
                  <w:r>
                    <w:rPr>
                      <w:rFonts w:cs="Miriam" w:hint="cs"/>
                      <w:szCs w:val="18"/>
                      <w:rtl/>
                    </w:rPr>
                    <w:t xml:space="preserve">רטי כתב </w:t>
                  </w:r>
                  <w:r>
                    <w:rPr>
                      <w:rFonts w:cs="Miriam"/>
                      <w:szCs w:val="18"/>
                      <w:rtl/>
                    </w:rPr>
                    <w:t>ה</w:t>
                  </w:r>
                  <w:r>
                    <w:rPr>
                      <w:rFonts w:cs="Miriam" w:hint="cs"/>
                      <w:szCs w:val="18"/>
                      <w:rtl/>
                    </w:rPr>
                    <w:t>ערעור</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כתב הערעור י</w:t>
      </w:r>
      <w:r>
        <w:rPr>
          <w:rStyle w:val="default"/>
          <w:rFonts w:cs="FrankRuehl"/>
          <w:rtl/>
        </w:rPr>
        <w:t>פ</w:t>
      </w:r>
      <w:r>
        <w:rPr>
          <w:rStyle w:val="default"/>
          <w:rFonts w:cs="FrankRuehl" w:hint="cs"/>
          <w:rtl/>
        </w:rPr>
        <w:t>ורטו:</w:t>
      </w:r>
    </w:p>
    <w:p w:rsidR="00F6497B" w:rsidRDefault="00F6497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ומענו של המערער;</w:t>
      </w:r>
    </w:p>
    <w:p w:rsidR="00F6497B" w:rsidRDefault="00F6497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 ומענו של המשיב;</w:t>
      </w:r>
    </w:p>
    <w:p w:rsidR="00F6497B" w:rsidRDefault="00F6497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התאריך שבו הגיעה למערער החלטת ועדת הערעור;</w:t>
      </w:r>
    </w:p>
    <w:p w:rsidR="00F6497B" w:rsidRDefault="00F6497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המספר הסידורי של תיק ועדת הערעור;</w:t>
      </w:r>
    </w:p>
    <w:p w:rsidR="00F6497B" w:rsidRDefault="00F6497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השאלה המשפטית שבה מערערים על ההחלטה;</w:t>
      </w:r>
    </w:p>
    <w:p w:rsidR="00F6497B" w:rsidRDefault="00F6497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הסעד המבוקש.</w:t>
      </w:r>
    </w:p>
    <w:p w:rsidR="00F6497B" w:rsidRDefault="00F6497B">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1.9pt;z-index:251653120"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צ</w:t>
                  </w:r>
                  <w:r>
                    <w:rPr>
                      <w:rFonts w:cs="Miriam" w:hint="cs"/>
                      <w:szCs w:val="18"/>
                      <w:rtl/>
                    </w:rPr>
                    <w:t>יון המשיב</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שהמערער הוא התובע, יצויין הממונ</w:t>
      </w:r>
      <w:r>
        <w:rPr>
          <w:rStyle w:val="default"/>
          <w:rFonts w:cs="FrankRuehl"/>
          <w:rtl/>
        </w:rPr>
        <w:t>ה</w:t>
      </w:r>
      <w:r>
        <w:rPr>
          <w:rStyle w:val="default"/>
          <w:rFonts w:cs="FrankRuehl" w:hint="cs"/>
          <w:rtl/>
        </w:rPr>
        <w:t xml:space="preserve"> בכתב הערעור כמשיב.</w:t>
      </w:r>
    </w:p>
    <w:p w:rsidR="00F6497B" w:rsidRDefault="00F649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שהמערער הוא הממונה, יצויין התובע בכתב הערעור כמשיב.</w:t>
      </w:r>
    </w:p>
    <w:p w:rsidR="00F6497B" w:rsidRDefault="00F6497B">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4.55pt;z-index:251654144"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מ</w:t>
                  </w:r>
                  <w:r>
                    <w:rPr>
                      <w:rFonts w:cs="Miriam" w:hint="cs"/>
                      <w:szCs w:val="18"/>
                      <w:rtl/>
                    </w:rPr>
                    <w:t>סי</w:t>
                  </w:r>
                  <w:r>
                    <w:rPr>
                      <w:rFonts w:cs="Miriam"/>
                      <w:szCs w:val="18"/>
                      <w:rtl/>
                    </w:rPr>
                    <w:t>ר</w:t>
                  </w:r>
                  <w:r>
                    <w:rPr>
                      <w:rFonts w:cs="Miriam" w:hint="cs"/>
                      <w:szCs w:val="18"/>
                      <w:rtl/>
                    </w:rPr>
                    <w:t>ת העתק</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העתק מכתב הערעור, בציון יום הגשתו, יוחזר על ידי משרד הרישום למגיש הערעור.</w:t>
      </w:r>
    </w:p>
    <w:p w:rsidR="00F6497B" w:rsidRDefault="00F649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אחד מכתב הערעור עם המצורף אליו יימסר לפרקליט המחוז, ואחד לממונה אם ה</w:t>
      </w:r>
      <w:r>
        <w:rPr>
          <w:rStyle w:val="default"/>
          <w:rFonts w:cs="FrankRuehl"/>
          <w:rtl/>
        </w:rPr>
        <w:t>מ</w:t>
      </w:r>
      <w:r>
        <w:rPr>
          <w:rStyle w:val="default"/>
          <w:rFonts w:cs="FrankRuehl" w:hint="cs"/>
          <w:rtl/>
        </w:rPr>
        <w:t>ערער הוא התובע, ואם המערער היה הממונה, יימסר העתק לתובע.</w:t>
      </w:r>
    </w:p>
    <w:p w:rsidR="00F6497B" w:rsidRDefault="00F6497B">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9.85pt;z-index:251655168"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ת</w:t>
                  </w:r>
                  <w:r>
                    <w:rPr>
                      <w:rFonts w:cs="Miriam" w:hint="cs"/>
                      <w:szCs w:val="18"/>
                      <w:rtl/>
                    </w:rPr>
                    <w:t>שובת המשי</w:t>
                  </w:r>
                  <w:r>
                    <w:rPr>
                      <w:rFonts w:cs="Miriam"/>
                      <w:szCs w:val="18"/>
                      <w:rtl/>
                    </w:rPr>
                    <w:t>ב</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המשיב רשאי להגיש לבית המשפט, תוך חמישה עשר יום מהיום שב</w:t>
      </w:r>
      <w:r>
        <w:rPr>
          <w:rStyle w:val="default"/>
          <w:rFonts w:cs="FrankRuehl"/>
          <w:rtl/>
        </w:rPr>
        <w:t>ו</w:t>
      </w:r>
      <w:r>
        <w:rPr>
          <w:rStyle w:val="default"/>
          <w:rFonts w:cs="FrankRuehl" w:hint="cs"/>
          <w:rtl/>
        </w:rPr>
        <w:t xml:space="preserve"> נמסר לו העתק מכתב הערעור, תשובה מנומקת בארבעה העתקים.</w:t>
      </w:r>
    </w:p>
    <w:p w:rsidR="00F6497B" w:rsidRDefault="00F649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התשובה תיחתם ביד המשיב או בא כוחו.</w:t>
      </w:r>
    </w:p>
    <w:p w:rsidR="00F6497B" w:rsidRDefault="00F649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תשובת המשיב, יימסר למערער העתק ממנה.</w:t>
      </w:r>
    </w:p>
    <w:p w:rsidR="00F6497B" w:rsidRDefault="00F6497B">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9pt;z-index:251656192"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פ</w:t>
                  </w:r>
                  <w:r>
                    <w:rPr>
                      <w:rFonts w:cs="Miriam" w:hint="cs"/>
                      <w:szCs w:val="18"/>
                      <w:rtl/>
                    </w:rPr>
                    <w:t>סול כתב הערעור</w:t>
                  </w:r>
                </w:p>
              </w:txbxContent>
            </v:textbox>
            <w10:anchorlock/>
          </v:rect>
        </w:pict>
      </w:r>
      <w:r>
        <w:rPr>
          <w:rStyle w:val="big-number"/>
          <w:rtl/>
        </w:rPr>
        <w:t>8.</w:t>
      </w:r>
      <w:r>
        <w:rPr>
          <w:rStyle w:val="big-number"/>
          <w:rtl/>
        </w:rPr>
        <w:tab/>
      </w:r>
      <w:r>
        <w:rPr>
          <w:rStyle w:val="default"/>
          <w:rFonts w:cs="FrankRuehl"/>
          <w:rtl/>
        </w:rPr>
        <w:t>כ</w:t>
      </w:r>
      <w:r>
        <w:rPr>
          <w:rStyle w:val="default"/>
          <w:rFonts w:cs="FrankRuehl" w:hint="cs"/>
          <w:rtl/>
        </w:rPr>
        <w:t>תב ערעור שלא נתקיימה בו הוראה מהוראות תקנות 4-12, לא יתקבל על ידי משרד הרישום של בית המשפ</w:t>
      </w:r>
      <w:r>
        <w:rPr>
          <w:rStyle w:val="default"/>
          <w:rFonts w:cs="FrankRuehl"/>
          <w:rtl/>
        </w:rPr>
        <w:t>ט</w:t>
      </w:r>
      <w:r>
        <w:rPr>
          <w:rStyle w:val="default"/>
          <w:rFonts w:cs="FrankRuehl" w:hint="cs"/>
          <w:rtl/>
        </w:rPr>
        <w:t>, אולם משקיבלו, לא יפסול אותו בית המשפט על יסוד אי קיום הוראה כאמור, אלא אם אין כתב הערעור מגלה כל שאלה משפטית שבמחלוקת, או אם ראה בית המשפט שאין למשיב סעד בדרך של דחיית הדיון או של חיוב בהוצאות או בשתי הדרכים כאחת ושעליו לפסול את כתב הערעור כדי למנוע עי</w:t>
      </w:r>
      <w:r>
        <w:rPr>
          <w:rStyle w:val="default"/>
          <w:rFonts w:cs="FrankRuehl"/>
          <w:rtl/>
        </w:rPr>
        <w:t>וו</w:t>
      </w:r>
      <w:r>
        <w:rPr>
          <w:rStyle w:val="default"/>
          <w:rFonts w:cs="FrankRuehl" w:hint="cs"/>
          <w:rtl/>
        </w:rPr>
        <w:t>ת הדין.</w:t>
      </w:r>
    </w:p>
    <w:p w:rsidR="00F6497B" w:rsidRDefault="00F6497B">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3pt;z-index:251657216"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ק</w:t>
                  </w:r>
                  <w:r>
                    <w:rPr>
                      <w:rFonts w:cs="Miriam" w:hint="cs"/>
                      <w:szCs w:val="18"/>
                      <w:rtl/>
                    </w:rPr>
                    <w:t>ביעת מועד לשמיעת הערעור</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שנמסר למשיב העתק מכתב הערעור, יקבע רשם בית המשפט (להלן - הרשם) מועד לשמיעת הערעור ויודיע על כך לבעלי הדין בהודעה מוקדמת של חמישה עשר יום לפחות.</w:t>
      </w:r>
    </w:p>
    <w:p w:rsidR="00F6497B" w:rsidRDefault="00F6497B">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3.7pt;z-index:251658240"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ה</w:t>
                  </w:r>
                  <w:r>
                    <w:rPr>
                      <w:rFonts w:cs="Miriam" w:hint="cs"/>
                      <w:szCs w:val="18"/>
                      <w:rtl/>
                    </w:rPr>
                    <w:t>עבר</w:t>
                  </w:r>
                  <w:r>
                    <w:rPr>
                      <w:rFonts w:cs="Miriam"/>
                      <w:szCs w:val="18"/>
                      <w:rtl/>
                    </w:rPr>
                    <w:t>ת</w:t>
                  </w:r>
                  <w:r>
                    <w:rPr>
                      <w:rFonts w:cs="Miriam" w:hint="cs"/>
                      <w:szCs w:val="18"/>
                      <w:rtl/>
                    </w:rPr>
                    <w:t xml:space="preserve"> התיק של ועדת הערעורים</w:t>
                  </w:r>
                </w:p>
              </w:txbxContent>
            </v:textbox>
            <w10:anchorlock/>
          </v:rect>
        </w:pict>
      </w:r>
      <w:r>
        <w:rPr>
          <w:rStyle w:val="big-number"/>
          <w:rtl/>
        </w:rPr>
        <w:t>10.</w:t>
      </w:r>
      <w:r>
        <w:rPr>
          <w:rStyle w:val="big-number"/>
          <w:rtl/>
        </w:rPr>
        <w:tab/>
      </w:r>
      <w:r>
        <w:rPr>
          <w:rStyle w:val="default"/>
          <w:rFonts w:cs="FrankRuehl"/>
          <w:rtl/>
        </w:rPr>
        <w:t>י</w:t>
      </w:r>
      <w:r>
        <w:rPr>
          <w:rStyle w:val="default"/>
          <w:rFonts w:cs="FrankRuehl" w:hint="cs"/>
          <w:rtl/>
        </w:rPr>
        <w:t xml:space="preserve">ושב ראש ועדת הערעור יעביר לרשם, אם </w:t>
      </w:r>
      <w:r>
        <w:rPr>
          <w:rStyle w:val="default"/>
          <w:rFonts w:cs="FrankRuehl"/>
          <w:rtl/>
        </w:rPr>
        <w:t>נ</w:t>
      </w:r>
      <w:r>
        <w:rPr>
          <w:rStyle w:val="default"/>
          <w:rFonts w:cs="FrankRuehl" w:hint="cs"/>
          <w:rtl/>
        </w:rPr>
        <w:t>דרש לעשות כן על ידי הרשם, את החלטת הועדה כשהיא חתומה על ידי חבריה, את פרוטוקול הדיונים בועדה, כל כתב של בעלי הדין וכל מסמך אחר שהוגש לועדה בקשר לערעור שלפניה.</w:t>
      </w:r>
    </w:p>
    <w:p w:rsidR="00F6497B" w:rsidRDefault="00F6497B">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9.3pt;z-index:251659264"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י</w:t>
                  </w:r>
                  <w:r>
                    <w:rPr>
                      <w:rFonts w:cs="Miriam" w:hint="cs"/>
                      <w:szCs w:val="18"/>
                      <w:rtl/>
                    </w:rPr>
                    <w:t>יצוג התובע בפני בית המשפט</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 xml:space="preserve">ובע שהגיש כתב ערעור לבית המשפט רשאי להתייצב בפניו, הוא או בא </w:t>
      </w:r>
      <w:r>
        <w:rPr>
          <w:rStyle w:val="default"/>
          <w:rFonts w:cs="FrankRuehl"/>
          <w:rtl/>
        </w:rPr>
        <w:t>כ</w:t>
      </w:r>
      <w:r>
        <w:rPr>
          <w:rStyle w:val="default"/>
          <w:rFonts w:cs="FrankRuehl" w:hint="cs"/>
          <w:rtl/>
        </w:rPr>
        <w:t xml:space="preserve">וחו, ולטעון את </w:t>
      </w:r>
      <w:r>
        <w:rPr>
          <w:rStyle w:val="default"/>
          <w:rFonts w:cs="FrankRuehl" w:hint="cs"/>
          <w:rtl/>
        </w:rPr>
        <w:lastRenderedPageBreak/>
        <w:t>טענותיו.</w:t>
      </w:r>
    </w:p>
    <w:p w:rsidR="00F6497B" w:rsidRDefault="00F6497B">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9.95pt;z-index:251660288"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ת</w:t>
                  </w:r>
                  <w:r>
                    <w:rPr>
                      <w:rFonts w:cs="Miriam" w:hint="cs"/>
                      <w:szCs w:val="18"/>
                      <w:rtl/>
                    </w:rPr>
                    <w:t>חולת תקנות הפרו</w:t>
                  </w:r>
                  <w:r>
                    <w:rPr>
                      <w:rFonts w:cs="Miriam"/>
                      <w:szCs w:val="18"/>
                      <w:rtl/>
                    </w:rPr>
                    <w:t>צ</w:t>
                  </w:r>
                  <w:r>
                    <w:rPr>
                      <w:rFonts w:cs="Miriam" w:hint="cs"/>
                      <w:szCs w:val="18"/>
                      <w:rtl/>
                    </w:rPr>
                    <w:t>ידורה האזרחית</w:t>
                  </w:r>
                </w:p>
              </w:txbxContent>
            </v:textbox>
            <w10:anchorlock/>
          </v:rect>
        </w:pict>
      </w:r>
      <w:r>
        <w:rPr>
          <w:rStyle w:val="big-number"/>
          <w:rtl/>
        </w:rPr>
        <w:t>12.</w:t>
      </w:r>
      <w:r>
        <w:rPr>
          <w:rStyle w:val="big-number"/>
          <w:rtl/>
        </w:rPr>
        <w:tab/>
      </w:r>
      <w:r>
        <w:rPr>
          <w:rStyle w:val="default"/>
          <w:rFonts w:cs="FrankRuehl"/>
          <w:rtl/>
        </w:rPr>
        <w:t>ע</w:t>
      </w:r>
      <w:r>
        <w:rPr>
          <w:rStyle w:val="default"/>
          <w:rFonts w:cs="FrankRuehl" w:hint="cs"/>
          <w:rtl/>
        </w:rPr>
        <w:t>ל איחוד ערעורים, על שמיעת הערעור, על ערעור שכנגד, ועל מתן פסק דין יחולו הוראות תקנות 304, 336 עד 340, 347 עד 352 לתקנות הפרוצידורה האזרחית, 1938, בשינויים המחוייבים לפי הענין.</w:t>
      </w:r>
    </w:p>
    <w:p w:rsidR="00F6497B" w:rsidRDefault="00F6497B">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8.85pt;z-index:251661312"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ה</w:t>
                  </w:r>
                  <w:r>
                    <w:rPr>
                      <w:rFonts w:cs="Miriam" w:hint="cs"/>
                      <w:szCs w:val="18"/>
                      <w:rtl/>
                    </w:rPr>
                    <w:t>דיון מוגבל לנימ</w:t>
                  </w:r>
                  <w:r>
                    <w:rPr>
                      <w:rFonts w:cs="Miriam"/>
                      <w:szCs w:val="18"/>
                      <w:rtl/>
                    </w:rPr>
                    <w:t>ו</w:t>
                  </w:r>
                  <w:r>
                    <w:rPr>
                      <w:rFonts w:cs="Miriam" w:hint="cs"/>
                      <w:szCs w:val="18"/>
                      <w:rtl/>
                    </w:rPr>
                    <w:t>קים בכתב</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דיון בערעור לא ייזקק בית המשפט לכל שאלה שלא הוזכרה בכתב ערעור או לכל נימוק שלא הוזכר בתשובת המשיב, אלא אם כן הוא משוכנע ששמיעת השאלה או הנימוק הנוספים דרושה למען הצדק.</w:t>
      </w:r>
    </w:p>
    <w:p w:rsidR="00F6497B" w:rsidRDefault="00F6497B">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2.1pt;z-index:251662336"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 הערעור</w:t>
                  </w:r>
                </w:p>
              </w:txbxContent>
            </v:textbox>
            <w10:anchorlock/>
          </v:rect>
        </w:pict>
      </w:r>
      <w:r>
        <w:rPr>
          <w:rStyle w:val="big-number"/>
          <w:rtl/>
        </w:rPr>
        <w:t>14.</w:t>
      </w:r>
      <w:r>
        <w:rPr>
          <w:rStyle w:val="big-number"/>
          <w:rtl/>
        </w:rPr>
        <w:tab/>
      </w:r>
      <w:r>
        <w:rPr>
          <w:rStyle w:val="default"/>
          <w:rFonts w:cs="FrankRuehl"/>
          <w:rtl/>
        </w:rPr>
        <w:t>ע</w:t>
      </w:r>
      <w:r>
        <w:rPr>
          <w:rStyle w:val="default"/>
          <w:rFonts w:cs="FrankRuehl" w:hint="cs"/>
          <w:rtl/>
        </w:rPr>
        <w:t>ד למתן פסק הדין בערעור רשאי המערער לחזור בו מערעו</w:t>
      </w:r>
      <w:r>
        <w:rPr>
          <w:rStyle w:val="default"/>
          <w:rFonts w:cs="FrankRuehl"/>
          <w:rtl/>
        </w:rPr>
        <w:t>ר</w:t>
      </w:r>
      <w:r>
        <w:rPr>
          <w:rStyle w:val="default"/>
          <w:rFonts w:cs="FrankRuehl" w:hint="cs"/>
          <w:rtl/>
        </w:rPr>
        <w:t>ו על ידי מתן הודעה בכתב לבית המשפט ומסירת העתק ממנה למשיב; משעשה כן, בטל הערעור והמערער ישלם למשיב, על פי בקשתו, את ההוצאות שיקבע בית המשפט.</w:t>
      </w:r>
    </w:p>
    <w:p w:rsidR="00F6497B" w:rsidRDefault="00F6497B">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22.2pt;z-index:251663360"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פ</w:t>
                  </w:r>
                  <w:r>
                    <w:rPr>
                      <w:rFonts w:cs="Miriam" w:hint="cs"/>
                      <w:szCs w:val="18"/>
                      <w:rtl/>
                    </w:rPr>
                    <w:t>סק דין על פי החומר שבכתב</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ויתרו המערער בכתב הערעור והמשיב בתשובתו, אם הוגשה תשובה, על שמיעת טענותיהם, י</w:t>
      </w:r>
      <w:r>
        <w:rPr>
          <w:rStyle w:val="default"/>
          <w:rFonts w:cs="FrankRuehl"/>
          <w:rtl/>
        </w:rPr>
        <w:t>ע</w:t>
      </w:r>
      <w:r>
        <w:rPr>
          <w:rStyle w:val="default"/>
          <w:rFonts w:cs="FrankRuehl" w:hint="cs"/>
          <w:rtl/>
        </w:rPr>
        <w:t>ביר הרשם לבית המשפט את כתב הערעור עם המצורף אליו ואת התשובה, אם הוגשה, ובית המשפט ידון בערעור לפי החומר שבכתב ויתן פסק דין.</w:t>
      </w:r>
    </w:p>
    <w:p w:rsidR="00F6497B" w:rsidRDefault="00F6497B">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רשאי בית המשפט להורות לרשם </w:t>
      </w:r>
      <w:r>
        <w:rPr>
          <w:rtl/>
        </w:rPr>
        <w:t>ל</w:t>
      </w:r>
      <w:r>
        <w:rPr>
          <w:rFonts w:hint="cs"/>
          <w:rtl/>
        </w:rPr>
        <w:t>קבוע מועד לשמיעת הערעור ואז יחולו תקנות אלה כאילו לא ויתרו בעלי הדין על שמיעת טענותיהם.</w:t>
      </w:r>
    </w:p>
    <w:p w:rsidR="00F6497B" w:rsidRDefault="00F6497B">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2.65pt;z-index:251664384"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מ</w:t>
                  </w:r>
                  <w:r>
                    <w:rPr>
                      <w:rFonts w:cs="Miriam" w:hint="cs"/>
                      <w:szCs w:val="18"/>
                      <w:rtl/>
                    </w:rPr>
                    <w:t xml:space="preserve">סירת </w:t>
                  </w:r>
                  <w:r>
                    <w:rPr>
                      <w:rFonts w:cs="Miriam"/>
                      <w:szCs w:val="18"/>
                      <w:rtl/>
                    </w:rPr>
                    <w:t>ה</w:t>
                  </w:r>
                  <w:r>
                    <w:rPr>
                      <w:rFonts w:cs="Miriam" w:hint="cs"/>
                      <w:szCs w:val="18"/>
                      <w:rtl/>
                    </w:rPr>
                    <w:t>ודעות</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סירת הודעות ומסמכים בערעור תיעשה לפי כללי המסירה שבח</w:t>
      </w:r>
      <w:r>
        <w:rPr>
          <w:rStyle w:val="default"/>
          <w:rFonts w:cs="FrankRuehl"/>
          <w:rtl/>
        </w:rPr>
        <w:t>ל</w:t>
      </w:r>
      <w:r>
        <w:rPr>
          <w:rStyle w:val="default"/>
          <w:rFonts w:cs="FrankRuehl" w:hint="cs"/>
          <w:rtl/>
        </w:rPr>
        <w:t>ק ד' לתקנות הפרוצידורה האזרחית, 1938, ובלבד שכראיה למסירת העתק החלטת הועדה שנשלחה בדואר רשום לתובע ולממונה על פי הוראות סעיף 36(ו) לחוק, תשמש הקבלה החוזרת של המכתב הרשום.</w:t>
      </w:r>
    </w:p>
    <w:p w:rsidR="00F6497B" w:rsidRDefault="00F6497B">
      <w:pPr>
        <w:pStyle w:val="P00"/>
        <w:spacing w:before="72"/>
        <w:ind w:left="0" w:right="1134"/>
        <w:rPr>
          <w:rStyle w:val="default"/>
          <w:rFonts w:cs="FrankRuehl" w:hint="cs"/>
          <w:rtl/>
        </w:rPr>
      </w:pPr>
      <w:bookmarkStart w:id="16" w:name="Seif16"/>
      <w:bookmarkEnd w:id="16"/>
      <w:r>
        <w:rPr>
          <w:lang w:val="he-IL"/>
        </w:rPr>
        <w:pict>
          <v:rect id="_x0000_s1042" style="position:absolute;left:0;text-align:left;margin-left:464.5pt;margin-top:8.05pt;width:75.05pt;height:38.95pt;z-index:251665408" o:allowincell="f" filled="f" stroked="f" strokecolor="lime" strokeweight=".25pt">
            <v:textbox inset="0,0,0,0">
              <w:txbxContent>
                <w:p w:rsidR="00F6497B" w:rsidRDefault="00F6497B">
                  <w:pPr>
                    <w:spacing w:line="160" w:lineRule="exact"/>
                    <w:jc w:val="left"/>
                    <w:rPr>
                      <w:rFonts w:cs="Miriam"/>
                      <w:noProof/>
                      <w:szCs w:val="18"/>
                      <w:rtl/>
                    </w:rPr>
                  </w:pPr>
                  <w:r>
                    <w:rPr>
                      <w:rFonts w:cs="Miriam"/>
                      <w:szCs w:val="18"/>
                      <w:rtl/>
                    </w:rPr>
                    <w:t>ד</w:t>
                  </w:r>
                  <w:r>
                    <w:rPr>
                      <w:rFonts w:cs="Miriam" w:hint="cs"/>
                      <w:szCs w:val="18"/>
                      <w:rtl/>
                    </w:rPr>
                    <w:t>ין החלטה של הרמ</w:t>
                  </w:r>
                  <w:r>
                    <w:rPr>
                      <w:rFonts w:cs="Miriam"/>
                      <w:szCs w:val="18"/>
                      <w:rtl/>
                    </w:rPr>
                    <w:t>ט</w:t>
                  </w:r>
                  <w:r>
                    <w:rPr>
                      <w:rFonts w:cs="Miriam" w:hint="cs"/>
                      <w:szCs w:val="18"/>
                      <w:rtl/>
                    </w:rPr>
                    <w:t>כ"ל או של מי שהוסמך על ידיו</w:t>
                  </w:r>
                </w:p>
                <w:p w:rsidR="00F6497B" w:rsidRDefault="00F6497B">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 xml:space="preserve">וגש ערעור לועדת </w:t>
      </w:r>
      <w:r>
        <w:rPr>
          <w:rStyle w:val="default"/>
          <w:rFonts w:cs="FrankRuehl"/>
          <w:rtl/>
        </w:rPr>
        <w:t>ה</w:t>
      </w:r>
      <w:r>
        <w:rPr>
          <w:rStyle w:val="default"/>
          <w:rFonts w:cs="FrankRuehl" w:hint="cs"/>
          <w:rtl/>
        </w:rPr>
        <w:t>ערעור על החלטה של הרמטכ"ל או על החלטה של מי שהוסמך על ידיו וועדת הערעור נתנה החלטה שמערערים עליה בפני בית המשפט, יחול האמור לגבי הממונה בתקנות אלה על הרמטכ"ל או מי שהוסמך על ידיו כאילו היו הממונה.</w:t>
      </w:r>
    </w:p>
    <w:p w:rsidR="00F6497B" w:rsidRDefault="00F6497B">
      <w:pPr>
        <w:pStyle w:val="P00"/>
        <w:spacing w:before="0"/>
        <w:ind w:left="0" w:right="1134"/>
        <w:rPr>
          <w:rFonts w:hint="cs"/>
          <w:b/>
          <w:bCs/>
          <w:vanish/>
          <w:szCs w:val="20"/>
          <w:shd w:val="clear" w:color="auto" w:fill="FFFF99"/>
          <w:rtl/>
        </w:rPr>
      </w:pPr>
      <w:bookmarkStart w:id="17" w:name="Rov21"/>
      <w:r>
        <w:rPr>
          <w:rFonts w:hint="cs"/>
          <w:vanish/>
          <w:color w:val="FF0000"/>
          <w:szCs w:val="20"/>
          <w:shd w:val="clear" w:color="auto" w:fill="FFFF99"/>
          <w:rtl/>
        </w:rPr>
        <w:t>מיום 8.1.1970</w:t>
      </w:r>
    </w:p>
    <w:p w:rsidR="00F6497B" w:rsidRDefault="00F6497B">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תש"ל-1970</w:t>
      </w:r>
    </w:p>
    <w:p w:rsidR="00F6497B" w:rsidRDefault="00F6497B">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תש"ל מס' 2507</w:t>
        </w:r>
      </w:hyperlink>
      <w:r>
        <w:rPr>
          <w:rFonts w:hint="cs"/>
          <w:vanish/>
          <w:szCs w:val="20"/>
          <w:shd w:val="clear" w:color="auto" w:fill="FFFF99"/>
          <w:rtl/>
        </w:rPr>
        <w:t xml:space="preserve"> מיום 8.1.1970 עמ' 882</w:t>
      </w:r>
    </w:p>
    <w:p w:rsidR="00F6497B" w:rsidRDefault="00F6497B">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17</w:t>
      </w:r>
    </w:p>
    <w:p w:rsidR="00F6497B" w:rsidRDefault="00F6497B">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F6497B" w:rsidRDefault="00F6497B">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דין החלטה של הרמטכ"ל</w:t>
      </w:r>
    </w:p>
    <w:p w:rsidR="00F6497B" w:rsidRDefault="00F6497B">
      <w:pPr>
        <w:pStyle w:val="P00"/>
        <w:tabs>
          <w:tab w:val="clear" w:pos="6259"/>
        </w:tabs>
        <w:spacing w:before="0"/>
        <w:ind w:left="0" w:right="1134"/>
        <w:rPr>
          <w:rFonts w:hint="cs"/>
          <w:strike/>
          <w:sz w:val="2"/>
          <w:szCs w:val="2"/>
          <w:rtl/>
        </w:rPr>
      </w:pPr>
      <w:r>
        <w:rPr>
          <w:rFonts w:hint="cs"/>
          <w:strike/>
          <w:vanish/>
          <w:sz w:val="22"/>
          <w:szCs w:val="22"/>
          <w:shd w:val="clear" w:color="auto" w:fill="FFFF99"/>
          <w:rtl/>
        </w:rPr>
        <w:t>17.</w:t>
      </w:r>
      <w:r>
        <w:rPr>
          <w:rFonts w:hint="cs"/>
          <w:strike/>
          <w:vanish/>
          <w:sz w:val="22"/>
          <w:szCs w:val="22"/>
          <w:shd w:val="clear" w:color="auto" w:fill="FFFF99"/>
          <w:rtl/>
        </w:rPr>
        <w:tab/>
        <w:t>הוגש ערעור לועדת הערעור על החלטת הרמטכ"ל וועדת הערעור נתנה החלטה שמערערים עליה לפני בית המשפט, ייקרא כל האמור בתקנות אלה לגבי הממונה כאילו המדובר הוא ברמטכ"ל.</w:t>
      </w:r>
      <w:bookmarkEnd w:id="17"/>
    </w:p>
    <w:p w:rsidR="00F6497B" w:rsidRDefault="00F6497B">
      <w:pPr>
        <w:pStyle w:val="P00"/>
        <w:spacing w:before="72"/>
        <w:ind w:left="0" w:right="1134"/>
        <w:rPr>
          <w:rStyle w:val="default"/>
          <w:rFonts w:cs="FrankRuehl"/>
          <w:rtl/>
        </w:rPr>
      </w:pPr>
      <w:bookmarkStart w:id="18" w:name="Seif17"/>
      <w:bookmarkEnd w:id="18"/>
      <w:r>
        <w:rPr>
          <w:lang w:val="he-IL"/>
        </w:rPr>
        <w:pict>
          <v:rect id="_x0000_s1043" style="position:absolute;left:0;text-align:left;margin-left:464.5pt;margin-top:8.05pt;width:75.05pt;height:8pt;z-index:251666432" o:allowincell="f" filled="f" stroked="f" strokecolor="lime" strokeweight=".25pt">
            <v:textbox style="mso-next-textbox:#_x0000_s1043" inset="0,0,0,0">
              <w:txbxContent>
                <w:p w:rsidR="00F6497B" w:rsidRDefault="00F6497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תקנות אלה ייקרא "תקנות שירות הקבע בצבא-הגנה לי</w:t>
      </w:r>
      <w:r>
        <w:rPr>
          <w:rStyle w:val="default"/>
          <w:rFonts w:cs="FrankRuehl"/>
          <w:rtl/>
        </w:rPr>
        <w:t>ש</w:t>
      </w:r>
      <w:r>
        <w:rPr>
          <w:rStyle w:val="default"/>
          <w:rFonts w:cs="FrankRuehl" w:hint="cs"/>
          <w:rtl/>
        </w:rPr>
        <w:t>ראל (גימלאות) (ערעור בפני בית המשפט המחוזי), תשי"ז-1956.</w:t>
      </w:r>
    </w:p>
    <w:p w:rsidR="00F6497B" w:rsidRDefault="00F6497B">
      <w:pPr>
        <w:pStyle w:val="P00"/>
        <w:spacing w:before="72"/>
        <w:ind w:left="0" w:right="1134"/>
        <w:rPr>
          <w:rStyle w:val="default"/>
          <w:rFonts w:cs="FrankRuehl"/>
          <w:rtl/>
        </w:rPr>
      </w:pPr>
    </w:p>
    <w:p w:rsidR="00F6497B" w:rsidRDefault="00F6497B">
      <w:pPr>
        <w:pStyle w:val="sig-0"/>
        <w:ind w:left="0" w:right="1134"/>
        <w:rPr>
          <w:rtl/>
        </w:rPr>
      </w:pPr>
      <w:r>
        <w:rPr>
          <w:rtl/>
        </w:rPr>
        <w:t>י</w:t>
      </w:r>
      <w:r>
        <w:rPr>
          <w:rFonts w:hint="cs"/>
          <w:rtl/>
        </w:rPr>
        <w:t>"ד בחשון תשי"ז (19 באוקטובר 1956).</w:t>
      </w:r>
      <w:r>
        <w:rPr>
          <w:rtl/>
        </w:rPr>
        <w:tab/>
      </w:r>
      <w:r>
        <w:rPr>
          <w:rFonts w:hint="cs"/>
          <w:rtl/>
        </w:rPr>
        <w:t>פנחס רוזן</w:t>
      </w:r>
    </w:p>
    <w:p w:rsidR="00F6497B" w:rsidRDefault="00F6497B">
      <w:pPr>
        <w:pStyle w:val="sig-1"/>
        <w:widowControl/>
        <w:ind w:left="0" w:right="1134"/>
        <w:rPr>
          <w:rFonts w:hint="cs"/>
          <w:rtl/>
        </w:rPr>
      </w:pPr>
      <w:r>
        <w:rPr>
          <w:rtl/>
        </w:rPr>
        <w:tab/>
      </w:r>
      <w:r>
        <w:rPr>
          <w:rtl/>
        </w:rPr>
        <w:tab/>
      </w:r>
      <w:r>
        <w:rPr>
          <w:rtl/>
        </w:rPr>
        <w:tab/>
      </w:r>
      <w:r>
        <w:rPr>
          <w:rFonts w:hint="cs"/>
          <w:rtl/>
        </w:rPr>
        <w:t>שר המשפטים</w:t>
      </w:r>
    </w:p>
    <w:p w:rsidR="00F6497B" w:rsidRDefault="00F6497B">
      <w:pPr>
        <w:pStyle w:val="P00"/>
        <w:spacing w:before="72"/>
        <w:ind w:left="0" w:right="1134"/>
        <w:rPr>
          <w:rStyle w:val="default"/>
          <w:rFonts w:cs="FrankRuehl" w:hint="cs"/>
          <w:rtl/>
        </w:rPr>
      </w:pPr>
    </w:p>
    <w:p w:rsidR="00F6497B" w:rsidRDefault="00F6497B">
      <w:pPr>
        <w:pStyle w:val="P00"/>
        <w:spacing w:before="72"/>
        <w:ind w:left="0" w:right="1134"/>
        <w:rPr>
          <w:rStyle w:val="default"/>
          <w:rFonts w:cs="FrankRuehl"/>
          <w:rtl/>
        </w:rPr>
      </w:pPr>
    </w:p>
    <w:p w:rsidR="00F6497B" w:rsidRDefault="00F6497B">
      <w:pPr>
        <w:pStyle w:val="P00"/>
        <w:spacing w:before="72"/>
        <w:ind w:left="0" w:right="1134"/>
        <w:rPr>
          <w:rStyle w:val="default"/>
          <w:rFonts w:cs="FrankRuehl"/>
          <w:rtl/>
        </w:rPr>
      </w:pPr>
      <w:bookmarkStart w:id="19" w:name="LawPartEnd"/>
    </w:p>
    <w:bookmarkEnd w:id="19"/>
    <w:p w:rsidR="00F6497B" w:rsidRDefault="00F6497B">
      <w:pPr>
        <w:pStyle w:val="P00"/>
        <w:spacing w:before="72"/>
        <w:ind w:left="0" w:right="1134"/>
        <w:rPr>
          <w:rStyle w:val="default"/>
          <w:rFonts w:cs="FrankRuehl"/>
          <w:rtl/>
        </w:rPr>
      </w:pPr>
    </w:p>
    <w:sectPr w:rsidR="00F6497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796" w:rsidRDefault="003C6796">
      <w:r>
        <w:separator/>
      </w:r>
    </w:p>
  </w:endnote>
  <w:endnote w:type="continuationSeparator" w:id="0">
    <w:p w:rsidR="003C6796" w:rsidRDefault="003C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97B" w:rsidRDefault="00F649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6497B" w:rsidRDefault="00F649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6497B" w:rsidRDefault="00F649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97B" w:rsidRDefault="00F6497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1CC1">
      <w:rPr>
        <w:rFonts w:hAnsi="FrankRuehl" w:cs="FrankRuehl"/>
        <w:noProof/>
        <w:sz w:val="24"/>
        <w:szCs w:val="24"/>
        <w:rtl/>
      </w:rPr>
      <w:t>2</w:t>
    </w:r>
    <w:r>
      <w:rPr>
        <w:rFonts w:hAnsi="FrankRuehl" w:cs="FrankRuehl"/>
        <w:sz w:val="24"/>
        <w:szCs w:val="24"/>
        <w:rtl/>
      </w:rPr>
      <w:fldChar w:fldCharType="end"/>
    </w:r>
  </w:p>
  <w:p w:rsidR="00F6497B" w:rsidRDefault="00F6497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6497B" w:rsidRDefault="00F6497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796" w:rsidRDefault="003C6796">
      <w:pPr>
        <w:spacing w:before="60" w:line="240" w:lineRule="auto"/>
        <w:ind w:right="1134"/>
      </w:pPr>
      <w:r>
        <w:separator/>
      </w:r>
    </w:p>
  </w:footnote>
  <w:footnote w:type="continuationSeparator" w:id="0">
    <w:p w:rsidR="003C6796" w:rsidRDefault="003C6796">
      <w:r>
        <w:continuationSeparator/>
      </w:r>
    </w:p>
  </w:footnote>
  <w:footnote w:id="1">
    <w:p w:rsidR="00F6497B" w:rsidRDefault="00F6497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תשי"ז מס' 647</w:t>
        </w:r>
      </w:hyperlink>
      <w:r>
        <w:rPr>
          <w:rFonts w:hint="cs"/>
          <w:sz w:val="20"/>
          <w:rtl/>
        </w:rPr>
        <w:t xml:space="preserve"> מיום 31.10.1956 </w:t>
      </w:r>
      <w:r>
        <w:rPr>
          <w:sz w:val="20"/>
          <w:rtl/>
        </w:rPr>
        <w:t>ע</w:t>
      </w:r>
      <w:r>
        <w:rPr>
          <w:rFonts w:hint="cs"/>
          <w:sz w:val="20"/>
          <w:rtl/>
        </w:rPr>
        <w:t>מ' 264.</w:t>
      </w:r>
    </w:p>
    <w:p w:rsidR="00F6497B" w:rsidRDefault="00F6497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w:t>
        </w:r>
        <w:r>
          <w:rPr>
            <w:rStyle w:val="Hyperlink"/>
            <w:rFonts w:hint="cs"/>
            <w:sz w:val="20"/>
            <w:rtl/>
          </w:rPr>
          <w:t>ל מס' 2507</w:t>
        </w:r>
      </w:hyperlink>
      <w:r>
        <w:rPr>
          <w:rFonts w:hint="cs"/>
          <w:sz w:val="20"/>
          <w:rtl/>
        </w:rPr>
        <w:t xml:space="preserve"> מיום 8.1.1970 עמ' 882 </w:t>
      </w:r>
      <w:r>
        <w:rPr>
          <w:sz w:val="20"/>
          <w:rtl/>
        </w:rPr>
        <w:t>–</w:t>
      </w:r>
      <w:r>
        <w:rPr>
          <w:rFonts w:hint="cs"/>
          <w:sz w:val="20"/>
          <w:rtl/>
        </w:rPr>
        <w:t xml:space="preserve"> תק' תש"ל-1970.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97B" w:rsidRDefault="00F6497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(ערעור בפני בית המשפט המחוזי), תשט"ז–1956</w:t>
    </w:r>
  </w:p>
  <w:p w:rsidR="00F6497B" w:rsidRDefault="00F649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6497B" w:rsidRDefault="00F6497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97B" w:rsidRDefault="00F6497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(ערעור בפני בית המשפט המחוזי), תשט"ז</w:t>
    </w:r>
    <w:r>
      <w:rPr>
        <w:rFonts w:hAnsi="FrankRuehl" w:cs="FrankRuehl" w:hint="cs"/>
        <w:color w:val="000000"/>
        <w:sz w:val="28"/>
        <w:szCs w:val="28"/>
        <w:rtl/>
      </w:rPr>
      <w:t>-</w:t>
    </w:r>
    <w:r>
      <w:rPr>
        <w:rFonts w:hAnsi="FrankRuehl" w:cs="FrankRuehl"/>
        <w:color w:val="000000"/>
        <w:sz w:val="28"/>
        <w:szCs w:val="28"/>
        <w:rtl/>
      </w:rPr>
      <w:t>1956</w:t>
    </w:r>
  </w:p>
  <w:p w:rsidR="00F6497B" w:rsidRDefault="00F6497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6497B" w:rsidRDefault="00F6497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1C7C"/>
    <w:rsid w:val="001F63A7"/>
    <w:rsid w:val="00211C7C"/>
    <w:rsid w:val="002C6632"/>
    <w:rsid w:val="003C6796"/>
    <w:rsid w:val="00711CC1"/>
    <w:rsid w:val="00D51C5A"/>
    <w:rsid w:val="00F36123"/>
    <w:rsid w:val="00F649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BC9EB5-A260-4A41-951D-F4C3B53A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507.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507.pdf" TargetMode="External"/><Relationship Id="rId1" Type="http://schemas.openxmlformats.org/officeDocument/2006/relationships/hyperlink" Target="http://www.nevo.co.il/Law_word/law06/TAK-06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6106</CharactersWithSpaces>
  <SharedDoc>false</SharedDoc>
  <HLinks>
    <vt:vector size="126" baseType="variant">
      <vt:variant>
        <vt:i4>8060938</vt:i4>
      </vt:variant>
      <vt:variant>
        <vt:i4>108</vt:i4>
      </vt:variant>
      <vt:variant>
        <vt:i4>0</vt:i4>
      </vt:variant>
      <vt:variant>
        <vt:i4>5</vt:i4>
      </vt:variant>
      <vt:variant>
        <vt:lpwstr>http://www.nevo.co.il/Law_word/law06/TAK-2507.pdf</vt:lpwstr>
      </vt:variant>
      <vt:variant>
        <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8060938</vt:i4>
      </vt:variant>
      <vt:variant>
        <vt:i4>3</vt:i4>
      </vt:variant>
      <vt:variant>
        <vt:i4>0</vt:i4>
      </vt:variant>
      <vt:variant>
        <vt:i4>5</vt:i4>
      </vt:variant>
      <vt:variant>
        <vt:lpwstr>http://www.nevo.co.il/Law_word/law06/TAK-2507.pdf</vt:lpwstr>
      </vt:variant>
      <vt:variant>
        <vt:lpwstr/>
      </vt:variant>
      <vt:variant>
        <vt:i4>8192009</vt:i4>
      </vt:variant>
      <vt:variant>
        <vt:i4>0</vt:i4>
      </vt:variant>
      <vt:variant>
        <vt:i4>0</vt:i4>
      </vt:variant>
      <vt:variant>
        <vt:i4>5</vt:i4>
      </vt:variant>
      <vt:variant>
        <vt:lpwstr>http://www.nevo.co.il/Law_word/law06/TAK-0647.pdf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(ערעור בפני בית המשפט המחוזי), תשט"ז-1956 - רבדים</vt:lpwstr>
  </property>
  <property fmtid="{D5CDD505-2E9C-101B-9397-08002B2CF9AE}" pid="5" name="LAWNUMBER">
    <vt:lpwstr>0061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ערעור על ועדות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37XגX</vt:lpwstr>
  </property>
  <property fmtid="{D5CDD505-2E9C-101B-9397-08002B2CF9AE}" pid="49" name="MEKOR_NAME2">
    <vt:lpwstr>פקודת בתי המשפט</vt:lpwstr>
  </property>
  <property fmtid="{D5CDD505-2E9C-101B-9397-08002B2CF9AE}" pid="50" name="MEKOR_SAIF2">
    <vt:lpwstr>22X</vt:lpwstr>
  </property>
  <property fmtid="{D5CDD505-2E9C-101B-9397-08002B2CF9AE}" pid="51" name="MEKOR_NAME3">
    <vt:lpwstr>פקודת הרשמים</vt:lpwstr>
  </property>
  <property fmtid="{D5CDD505-2E9C-101B-9397-08002B2CF9AE}" pid="52" name="MEKOR_SAIF3">
    <vt:lpwstr>19X</vt:lpwstr>
  </property>
</Properties>
</file>