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AD58" w14:textId="77777777" w:rsidR="00FB2F53" w:rsidRDefault="00FB2F53">
      <w:pPr>
        <w:pStyle w:val="big-header"/>
        <w:ind w:left="0" w:right="1134"/>
        <w:rPr>
          <w:rFonts w:hint="cs"/>
          <w:rtl/>
        </w:rPr>
      </w:pPr>
      <w:r>
        <w:rPr>
          <w:rtl/>
        </w:rPr>
        <w:t>תקנות שירות מילואים (תגמולים) (דינים וחשבונות ותשלומים לקרן ההשוואה), תשי"ז</w:t>
      </w:r>
      <w:r>
        <w:rPr>
          <w:rFonts w:hint="cs"/>
          <w:rtl/>
        </w:rPr>
        <w:t>-</w:t>
      </w:r>
      <w:r>
        <w:rPr>
          <w:rtl/>
        </w:rPr>
        <w:t>1957</w:t>
      </w:r>
    </w:p>
    <w:p w14:paraId="659EE581" w14:textId="77777777" w:rsidR="00FB2F53" w:rsidRDefault="00FB2F53">
      <w:pPr>
        <w:pStyle w:val="big-header"/>
        <w:ind w:left="0" w:right="1134"/>
        <w:rPr>
          <w:rFonts w:hint="cs"/>
          <w:color w:val="008000"/>
          <w:rtl/>
        </w:rPr>
      </w:pPr>
      <w:r>
        <w:rPr>
          <w:rFonts w:hint="cs"/>
          <w:color w:val="008000"/>
          <w:rtl/>
        </w:rPr>
        <w:t>רבדים בחקיקה</w:t>
      </w:r>
    </w:p>
    <w:p w14:paraId="1BD76C38" w14:textId="77777777" w:rsidR="0034752D" w:rsidRPr="0034752D" w:rsidRDefault="0034752D" w:rsidP="0034752D">
      <w:pPr>
        <w:spacing w:line="320" w:lineRule="auto"/>
        <w:jc w:val="left"/>
        <w:rPr>
          <w:rFonts w:cs="FrankRuehl"/>
          <w:szCs w:val="26"/>
          <w:rtl/>
        </w:rPr>
      </w:pPr>
    </w:p>
    <w:p w14:paraId="325F5877" w14:textId="77777777" w:rsidR="0034752D" w:rsidRPr="0034752D" w:rsidRDefault="0034752D" w:rsidP="0034752D">
      <w:pPr>
        <w:spacing w:line="320" w:lineRule="auto"/>
        <w:jc w:val="left"/>
        <w:rPr>
          <w:rFonts w:cs="Miriam" w:hint="cs"/>
          <w:szCs w:val="22"/>
          <w:rtl/>
        </w:rPr>
      </w:pPr>
      <w:r w:rsidRPr="0034752D">
        <w:rPr>
          <w:rFonts w:cs="Miriam"/>
          <w:szCs w:val="22"/>
          <w:rtl/>
        </w:rPr>
        <w:t>בטחון</w:t>
      </w:r>
      <w:r w:rsidRPr="0034752D">
        <w:rPr>
          <w:rFonts w:cs="FrankRuehl"/>
          <w:szCs w:val="26"/>
          <w:rtl/>
        </w:rPr>
        <w:t xml:space="preserve"> – צה"ל – מילואים – תגמולים</w:t>
      </w:r>
    </w:p>
    <w:p w14:paraId="0ED1A8F2" w14:textId="77777777" w:rsidR="00FB2F53" w:rsidRDefault="00FB2F53">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B2F53" w14:paraId="3E5D6155" w14:textId="77777777">
        <w:tblPrEx>
          <w:tblCellMar>
            <w:top w:w="0" w:type="dxa"/>
            <w:bottom w:w="0" w:type="dxa"/>
          </w:tblCellMar>
        </w:tblPrEx>
        <w:tc>
          <w:tcPr>
            <w:tcW w:w="850" w:type="dxa"/>
          </w:tcPr>
          <w:p w14:paraId="1C4B0BFB" w14:textId="77777777" w:rsidR="00FB2F53" w:rsidRDefault="00FB2F5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6175B47" w14:textId="77777777" w:rsidR="00FB2F53" w:rsidRDefault="00FB2F53">
            <w:pPr>
              <w:spacing w:line="240" w:lineRule="auto"/>
              <w:rPr>
                <w:sz w:val="24"/>
              </w:rPr>
            </w:pPr>
            <w:hyperlink w:anchor="Seif0" w:tooltip="מועד הגשת הדין וחשבון" w:history="1">
              <w:r>
                <w:rPr>
                  <w:rStyle w:val="Hyperlink"/>
                </w:rPr>
                <w:t>Go</w:t>
              </w:r>
            </w:hyperlink>
          </w:p>
        </w:tc>
        <w:tc>
          <w:tcPr>
            <w:tcW w:w="5669" w:type="dxa"/>
          </w:tcPr>
          <w:p w14:paraId="49156405" w14:textId="77777777" w:rsidR="00FB2F53" w:rsidRDefault="00FB2F53">
            <w:pPr>
              <w:spacing w:line="240" w:lineRule="auto"/>
              <w:rPr>
                <w:sz w:val="24"/>
                <w:rtl/>
              </w:rPr>
            </w:pPr>
            <w:r>
              <w:rPr>
                <w:sz w:val="24"/>
                <w:rtl/>
              </w:rPr>
              <w:t>מועד הגשת הדין וחשבון</w:t>
            </w:r>
          </w:p>
        </w:tc>
        <w:tc>
          <w:tcPr>
            <w:tcW w:w="1247" w:type="dxa"/>
          </w:tcPr>
          <w:p w14:paraId="54AAFA9E" w14:textId="77777777" w:rsidR="00FB2F53" w:rsidRDefault="00FB2F53">
            <w:pPr>
              <w:spacing w:line="240" w:lineRule="auto"/>
              <w:rPr>
                <w:sz w:val="24"/>
              </w:rPr>
            </w:pPr>
            <w:r>
              <w:rPr>
                <w:sz w:val="24"/>
                <w:rtl/>
              </w:rPr>
              <w:t xml:space="preserve">סעיף 1 </w:t>
            </w:r>
          </w:p>
        </w:tc>
      </w:tr>
      <w:tr w:rsidR="00FB2F53" w14:paraId="56EAAF60" w14:textId="77777777">
        <w:tblPrEx>
          <w:tblCellMar>
            <w:top w:w="0" w:type="dxa"/>
            <w:bottom w:w="0" w:type="dxa"/>
          </w:tblCellMar>
        </w:tblPrEx>
        <w:tc>
          <w:tcPr>
            <w:tcW w:w="850" w:type="dxa"/>
          </w:tcPr>
          <w:p w14:paraId="1F6BBCDE" w14:textId="77777777" w:rsidR="00FB2F53" w:rsidRDefault="00FB2F5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33952F7" w14:textId="77777777" w:rsidR="00FB2F53" w:rsidRDefault="00FB2F53">
            <w:pPr>
              <w:spacing w:line="240" w:lineRule="auto"/>
              <w:rPr>
                <w:sz w:val="24"/>
              </w:rPr>
            </w:pPr>
            <w:hyperlink w:anchor="Seif1" w:tooltip="דרך הגשת הדין וחשבון" w:history="1">
              <w:r>
                <w:rPr>
                  <w:rStyle w:val="Hyperlink"/>
                </w:rPr>
                <w:t>Go</w:t>
              </w:r>
            </w:hyperlink>
          </w:p>
        </w:tc>
        <w:tc>
          <w:tcPr>
            <w:tcW w:w="5669" w:type="dxa"/>
          </w:tcPr>
          <w:p w14:paraId="493077B1" w14:textId="77777777" w:rsidR="00FB2F53" w:rsidRDefault="00FB2F53">
            <w:pPr>
              <w:spacing w:line="240" w:lineRule="auto"/>
              <w:rPr>
                <w:sz w:val="24"/>
                <w:rtl/>
              </w:rPr>
            </w:pPr>
            <w:r>
              <w:rPr>
                <w:sz w:val="24"/>
                <w:rtl/>
              </w:rPr>
              <w:t>דרך הגשת הדין וחשבון</w:t>
            </w:r>
          </w:p>
        </w:tc>
        <w:tc>
          <w:tcPr>
            <w:tcW w:w="1247" w:type="dxa"/>
          </w:tcPr>
          <w:p w14:paraId="636C905A" w14:textId="77777777" w:rsidR="00FB2F53" w:rsidRDefault="00FB2F53">
            <w:pPr>
              <w:spacing w:line="240" w:lineRule="auto"/>
              <w:rPr>
                <w:sz w:val="24"/>
              </w:rPr>
            </w:pPr>
            <w:r>
              <w:rPr>
                <w:sz w:val="24"/>
                <w:rtl/>
              </w:rPr>
              <w:t xml:space="preserve">סעיף 2 </w:t>
            </w:r>
          </w:p>
        </w:tc>
      </w:tr>
      <w:tr w:rsidR="00FB2F53" w14:paraId="002594CD" w14:textId="77777777">
        <w:tblPrEx>
          <w:tblCellMar>
            <w:top w:w="0" w:type="dxa"/>
            <w:bottom w:w="0" w:type="dxa"/>
          </w:tblCellMar>
        </w:tblPrEx>
        <w:tc>
          <w:tcPr>
            <w:tcW w:w="850" w:type="dxa"/>
          </w:tcPr>
          <w:p w14:paraId="0456D82F" w14:textId="77777777" w:rsidR="00FB2F53" w:rsidRDefault="00FB2F5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2B0428B" w14:textId="77777777" w:rsidR="00FB2F53" w:rsidRDefault="00FB2F53">
            <w:pPr>
              <w:spacing w:line="240" w:lineRule="auto"/>
              <w:rPr>
                <w:sz w:val="24"/>
              </w:rPr>
            </w:pPr>
            <w:hyperlink w:anchor="Seif2" w:tooltip="פרטי הדין וחשבון" w:history="1">
              <w:r>
                <w:rPr>
                  <w:rStyle w:val="Hyperlink"/>
                </w:rPr>
                <w:t>Go</w:t>
              </w:r>
            </w:hyperlink>
          </w:p>
        </w:tc>
        <w:tc>
          <w:tcPr>
            <w:tcW w:w="5669" w:type="dxa"/>
          </w:tcPr>
          <w:p w14:paraId="0EF57C35" w14:textId="77777777" w:rsidR="00FB2F53" w:rsidRDefault="00FB2F53">
            <w:pPr>
              <w:spacing w:line="240" w:lineRule="auto"/>
              <w:rPr>
                <w:sz w:val="24"/>
                <w:rtl/>
              </w:rPr>
            </w:pPr>
            <w:r>
              <w:rPr>
                <w:sz w:val="24"/>
                <w:rtl/>
              </w:rPr>
              <w:t>פרטי הדין וחשבון</w:t>
            </w:r>
          </w:p>
        </w:tc>
        <w:tc>
          <w:tcPr>
            <w:tcW w:w="1247" w:type="dxa"/>
          </w:tcPr>
          <w:p w14:paraId="7AAAA915" w14:textId="77777777" w:rsidR="00FB2F53" w:rsidRDefault="00FB2F53">
            <w:pPr>
              <w:spacing w:line="240" w:lineRule="auto"/>
              <w:rPr>
                <w:sz w:val="24"/>
              </w:rPr>
            </w:pPr>
            <w:r>
              <w:rPr>
                <w:sz w:val="24"/>
                <w:rtl/>
              </w:rPr>
              <w:t xml:space="preserve">סעיף 3 </w:t>
            </w:r>
          </w:p>
        </w:tc>
      </w:tr>
      <w:tr w:rsidR="00FB2F53" w14:paraId="55C815C2" w14:textId="77777777">
        <w:tblPrEx>
          <w:tblCellMar>
            <w:top w:w="0" w:type="dxa"/>
            <w:bottom w:w="0" w:type="dxa"/>
          </w:tblCellMar>
        </w:tblPrEx>
        <w:tc>
          <w:tcPr>
            <w:tcW w:w="850" w:type="dxa"/>
          </w:tcPr>
          <w:p w14:paraId="3CCA2DDA" w14:textId="77777777" w:rsidR="00FB2F53" w:rsidRDefault="00FB2F5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34DD293" w14:textId="77777777" w:rsidR="00FB2F53" w:rsidRDefault="00FB2F53">
            <w:pPr>
              <w:spacing w:line="240" w:lineRule="auto"/>
              <w:rPr>
                <w:sz w:val="24"/>
              </w:rPr>
            </w:pPr>
            <w:hyperlink w:anchor="Seif3" w:tooltip="דרך התשלום" w:history="1">
              <w:r>
                <w:rPr>
                  <w:rStyle w:val="Hyperlink"/>
                </w:rPr>
                <w:t>Go</w:t>
              </w:r>
            </w:hyperlink>
          </w:p>
        </w:tc>
        <w:tc>
          <w:tcPr>
            <w:tcW w:w="5669" w:type="dxa"/>
          </w:tcPr>
          <w:p w14:paraId="4B94131D" w14:textId="77777777" w:rsidR="00FB2F53" w:rsidRDefault="00FB2F53">
            <w:pPr>
              <w:spacing w:line="240" w:lineRule="auto"/>
              <w:rPr>
                <w:sz w:val="24"/>
                <w:rtl/>
              </w:rPr>
            </w:pPr>
            <w:r>
              <w:rPr>
                <w:sz w:val="24"/>
                <w:rtl/>
              </w:rPr>
              <w:t>דרך התשלום</w:t>
            </w:r>
          </w:p>
        </w:tc>
        <w:tc>
          <w:tcPr>
            <w:tcW w:w="1247" w:type="dxa"/>
          </w:tcPr>
          <w:p w14:paraId="0AAE24D7" w14:textId="77777777" w:rsidR="00FB2F53" w:rsidRDefault="00FB2F53">
            <w:pPr>
              <w:spacing w:line="240" w:lineRule="auto"/>
              <w:rPr>
                <w:sz w:val="24"/>
              </w:rPr>
            </w:pPr>
            <w:r>
              <w:rPr>
                <w:sz w:val="24"/>
                <w:rtl/>
              </w:rPr>
              <w:t xml:space="preserve">סעיף 4 </w:t>
            </w:r>
          </w:p>
        </w:tc>
      </w:tr>
      <w:tr w:rsidR="00FB2F53" w14:paraId="5801A403" w14:textId="77777777">
        <w:tblPrEx>
          <w:tblCellMar>
            <w:top w:w="0" w:type="dxa"/>
            <w:bottom w:w="0" w:type="dxa"/>
          </w:tblCellMar>
        </w:tblPrEx>
        <w:tc>
          <w:tcPr>
            <w:tcW w:w="850" w:type="dxa"/>
          </w:tcPr>
          <w:p w14:paraId="77F7A284" w14:textId="77777777" w:rsidR="00FB2F53" w:rsidRDefault="00FB2F5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222A97F" w14:textId="77777777" w:rsidR="00FB2F53" w:rsidRDefault="00FB2F53">
            <w:pPr>
              <w:spacing w:line="240" w:lineRule="auto"/>
              <w:rPr>
                <w:sz w:val="24"/>
              </w:rPr>
            </w:pPr>
            <w:hyperlink w:anchor="Seif4" w:tooltip="מועד התשלום" w:history="1">
              <w:r>
                <w:rPr>
                  <w:rStyle w:val="Hyperlink"/>
                </w:rPr>
                <w:t>Go</w:t>
              </w:r>
            </w:hyperlink>
          </w:p>
        </w:tc>
        <w:tc>
          <w:tcPr>
            <w:tcW w:w="5669" w:type="dxa"/>
          </w:tcPr>
          <w:p w14:paraId="36CD5D9B" w14:textId="77777777" w:rsidR="00FB2F53" w:rsidRDefault="00FB2F53">
            <w:pPr>
              <w:spacing w:line="240" w:lineRule="auto"/>
              <w:rPr>
                <w:sz w:val="24"/>
                <w:rtl/>
              </w:rPr>
            </w:pPr>
            <w:r>
              <w:rPr>
                <w:sz w:val="24"/>
                <w:rtl/>
              </w:rPr>
              <w:t>מועד התשלום</w:t>
            </w:r>
          </w:p>
        </w:tc>
        <w:tc>
          <w:tcPr>
            <w:tcW w:w="1247" w:type="dxa"/>
          </w:tcPr>
          <w:p w14:paraId="7F8CCF82" w14:textId="77777777" w:rsidR="00FB2F53" w:rsidRDefault="00FB2F53">
            <w:pPr>
              <w:spacing w:line="240" w:lineRule="auto"/>
              <w:rPr>
                <w:sz w:val="24"/>
              </w:rPr>
            </w:pPr>
            <w:r>
              <w:rPr>
                <w:sz w:val="24"/>
                <w:rtl/>
              </w:rPr>
              <w:t xml:space="preserve">סעיף 4א </w:t>
            </w:r>
          </w:p>
        </w:tc>
      </w:tr>
      <w:tr w:rsidR="00FB2F53" w14:paraId="4040E4D9" w14:textId="77777777">
        <w:tblPrEx>
          <w:tblCellMar>
            <w:top w:w="0" w:type="dxa"/>
            <w:bottom w:w="0" w:type="dxa"/>
          </w:tblCellMar>
        </w:tblPrEx>
        <w:tc>
          <w:tcPr>
            <w:tcW w:w="850" w:type="dxa"/>
          </w:tcPr>
          <w:p w14:paraId="51FDF59C" w14:textId="77777777" w:rsidR="00FB2F53" w:rsidRDefault="00FB2F53">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6C43871" w14:textId="77777777" w:rsidR="00FB2F53" w:rsidRDefault="00FB2F53">
            <w:pPr>
              <w:spacing w:line="240" w:lineRule="auto"/>
              <w:rPr>
                <w:sz w:val="24"/>
              </w:rPr>
            </w:pPr>
            <w:hyperlink w:anchor="Seif5" w:tooltip="ביטול" w:history="1">
              <w:r>
                <w:rPr>
                  <w:rStyle w:val="Hyperlink"/>
                </w:rPr>
                <w:t>Go</w:t>
              </w:r>
            </w:hyperlink>
          </w:p>
        </w:tc>
        <w:tc>
          <w:tcPr>
            <w:tcW w:w="5669" w:type="dxa"/>
          </w:tcPr>
          <w:p w14:paraId="00B60791" w14:textId="77777777" w:rsidR="00FB2F53" w:rsidRDefault="00FB2F53">
            <w:pPr>
              <w:spacing w:line="240" w:lineRule="auto"/>
              <w:rPr>
                <w:sz w:val="24"/>
                <w:rtl/>
              </w:rPr>
            </w:pPr>
            <w:r>
              <w:rPr>
                <w:sz w:val="24"/>
                <w:rtl/>
              </w:rPr>
              <w:t>ביטול</w:t>
            </w:r>
          </w:p>
        </w:tc>
        <w:tc>
          <w:tcPr>
            <w:tcW w:w="1247" w:type="dxa"/>
          </w:tcPr>
          <w:p w14:paraId="624D0836" w14:textId="77777777" w:rsidR="00FB2F53" w:rsidRDefault="00FB2F53">
            <w:pPr>
              <w:spacing w:line="240" w:lineRule="auto"/>
              <w:rPr>
                <w:sz w:val="24"/>
              </w:rPr>
            </w:pPr>
            <w:r>
              <w:rPr>
                <w:sz w:val="24"/>
                <w:rtl/>
              </w:rPr>
              <w:t xml:space="preserve">סעיף 5 </w:t>
            </w:r>
          </w:p>
        </w:tc>
      </w:tr>
      <w:tr w:rsidR="00FB2F53" w14:paraId="6E75A38E" w14:textId="77777777">
        <w:tblPrEx>
          <w:tblCellMar>
            <w:top w:w="0" w:type="dxa"/>
            <w:bottom w:w="0" w:type="dxa"/>
          </w:tblCellMar>
        </w:tblPrEx>
        <w:tc>
          <w:tcPr>
            <w:tcW w:w="850" w:type="dxa"/>
          </w:tcPr>
          <w:p w14:paraId="149826FC" w14:textId="77777777" w:rsidR="00FB2F53" w:rsidRDefault="00FB2F53">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C1C5655" w14:textId="77777777" w:rsidR="00FB2F53" w:rsidRDefault="00FB2F53">
            <w:pPr>
              <w:spacing w:line="240" w:lineRule="auto"/>
              <w:rPr>
                <w:sz w:val="24"/>
              </w:rPr>
            </w:pPr>
            <w:hyperlink w:anchor="Seif6" w:tooltip="השם" w:history="1">
              <w:r>
                <w:rPr>
                  <w:rStyle w:val="Hyperlink"/>
                </w:rPr>
                <w:t>Go</w:t>
              </w:r>
            </w:hyperlink>
          </w:p>
        </w:tc>
        <w:tc>
          <w:tcPr>
            <w:tcW w:w="5669" w:type="dxa"/>
          </w:tcPr>
          <w:p w14:paraId="5628CAFA" w14:textId="77777777" w:rsidR="00FB2F53" w:rsidRDefault="00FB2F53">
            <w:pPr>
              <w:spacing w:line="240" w:lineRule="auto"/>
              <w:rPr>
                <w:sz w:val="24"/>
                <w:rtl/>
              </w:rPr>
            </w:pPr>
            <w:r>
              <w:rPr>
                <w:sz w:val="24"/>
                <w:rtl/>
              </w:rPr>
              <w:t>השם</w:t>
            </w:r>
          </w:p>
        </w:tc>
        <w:tc>
          <w:tcPr>
            <w:tcW w:w="1247" w:type="dxa"/>
          </w:tcPr>
          <w:p w14:paraId="75FFB953" w14:textId="77777777" w:rsidR="00FB2F53" w:rsidRDefault="00FB2F53">
            <w:pPr>
              <w:spacing w:line="240" w:lineRule="auto"/>
              <w:rPr>
                <w:sz w:val="24"/>
              </w:rPr>
            </w:pPr>
            <w:r>
              <w:rPr>
                <w:sz w:val="24"/>
                <w:rtl/>
              </w:rPr>
              <w:t xml:space="preserve">סעיף 6 </w:t>
            </w:r>
          </w:p>
        </w:tc>
      </w:tr>
    </w:tbl>
    <w:p w14:paraId="321068E9" w14:textId="77777777" w:rsidR="00FB2F53" w:rsidRDefault="00FB2F53">
      <w:pPr>
        <w:pStyle w:val="big-header"/>
        <w:ind w:left="0" w:right="1134"/>
        <w:rPr>
          <w:rtl/>
        </w:rPr>
      </w:pPr>
    </w:p>
    <w:p w14:paraId="3A9582E5" w14:textId="77777777" w:rsidR="00FB2F53" w:rsidRPr="0034752D" w:rsidRDefault="00FB2F53" w:rsidP="0034752D">
      <w:pPr>
        <w:pStyle w:val="big-header"/>
        <w:ind w:left="0" w:right="1134"/>
        <w:rPr>
          <w:rStyle w:val="default"/>
          <w:rFonts w:cs="FrankRuehl" w:hint="cs"/>
          <w:szCs w:val="32"/>
          <w:rtl/>
        </w:rPr>
      </w:pPr>
      <w:r>
        <w:rPr>
          <w:rtl/>
        </w:rPr>
        <w:br w:type="page"/>
      </w:r>
      <w:r>
        <w:rPr>
          <w:rtl/>
        </w:rPr>
        <w:lastRenderedPageBreak/>
        <w:t>ת</w:t>
      </w:r>
      <w:r>
        <w:rPr>
          <w:rFonts w:hint="cs"/>
          <w:rtl/>
        </w:rPr>
        <w:t>קנות שירות מילואים (תגמולים) (דינים וחשבונות ותשלומים לקרן ההשוואה), תשי"ז-1957</w:t>
      </w:r>
      <w:r>
        <w:rPr>
          <w:rStyle w:val="default"/>
          <w:rtl/>
        </w:rPr>
        <w:footnoteReference w:customMarkFollows="1" w:id="1"/>
        <w:t>*</w:t>
      </w:r>
    </w:p>
    <w:p w14:paraId="14CB5346" w14:textId="77777777" w:rsidR="00FB2F53" w:rsidRDefault="00FB2F5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11, 12 ו-28 לחוק שירות מילואים (תגמולים), תשי"ב</w:t>
      </w:r>
      <w:r>
        <w:rPr>
          <w:rStyle w:val="default"/>
          <w:rFonts w:cs="FrankRuehl"/>
          <w:rtl/>
        </w:rPr>
        <w:t>–</w:t>
      </w:r>
      <w:r>
        <w:rPr>
          <w:rStyle w:val="default"/>
          <w:rFonts w:cs="FrankRuehl" w:hint="cs"/>
          <w:rtl/>
        </w:rPr>
        <w:t>1952, ולאחר התייעצות במועצה, אני מתקין תקנות אלה:</w:t>
      </w:r>
    </w:p>
    <w:p w14:paraId="5746743A" w14:textId="77777777" w:rsidR="00FB2F53" w:rsidRDefault="00FB2F53">
      <w:pPr>
        <w:pStyle w:val="P00"/>
        <w:spacing w:before="72"/>
        <w:ind w:left="0" w:right="1134"/>
        <w:rPr>
          <w:rStyle w:val="default"/>
          <w:rFonts w:cs="FrankRuehl"/>
          <w:rtl/>
        </w:rPr>
      </w:pPr>
      <w:bookmarkStart w:id="0" w:name="Seif0"/>
      <w:bookmarkEnd w:id="0"/>
      <w:r>
        <w:rPr>
          <w:lang w:val="he-IL"/>
        </w:rPr>
        <w:pict w14:anchorId="15A998F4">
          <v:rect id="_x0000_s1026" style="position:absolute;left:0;text-align:left;margin-left:464.5pt;margin-top:8.05pt;width:75.05pt;height:19.3pt;z-index:251654656" o:allowincell="f" filled="f" stroked="f" strokecolor="lime" strokeweight=".25pt">
            <v:textbox inset="0,0,0,0">
              <w:txbxContent>
                <w:p w14:paraId="0A5C7C02" w14:textId="77777777" w:rsidR="00FB2F53" w:rsidRDefault="00FB2F53">
                  <w:pPr>
                    <w:spacing w:line="160" w:lineRule="exact"/>
                    <w:jc w:val="left"/>
                    <w:rPr>
                      <w:rFonts w:cs="Miriam"/>
                      <w:noProof/>
                      <w:szCs w:val="18"/>
                      <w:rtl/>
                    </w:rPr>
                  </w:pPr>
                  <w:r>
                    <w:rPr>
                      <w:rFonts w:cs="Miriam"/>
                      <w:szCs w:val="18"/>
                      <w:rtl/>
                    </w:rPr>
                    <w:t>מ</w:t>
                  </w:r>
                  <w:r>
                    <w:rPr>
                      <w:rFonts w:cs="Miriam" w:hint="cs"/>
                      <w:szCs w:val="18"/>
                      <w:rtl/>
                    </w:rPr>
                    <w:t xml:space="preserve">ועד הגשת </w:t>
                  </w:r>
                  <w:r>
                    <w:rPr>
                      <w:rFonts w:cs="Miriam"/>
                      <w:szCs w:val="18"/>
                      <w:rtl/>
                    </w:rPr>
                    <w:t>ה</w:t>
                  </w:r>
                  <w:r>
                    <w:rPr>
                      <w:rFonts w:cs="Miriam" w:hint="cs"/>
                      <w:szCs w:val="18"/>
                      <w:rtl/>
                    </w:rPr>
                    <w:t>ד</w:t>
                  </w:r>
                  <w:r>
                    <w:rPr>
                      <w:rFonts w:cs="Miriam"/>
                      <w:szCs w:val="18"/>
                      <w:rtl/>
                    </w:rPr>
                    <w:t>י</w:t>
                  </w:r>
                  <w:r>
                    <w:rPr>
                      <w:rFonts w:cs="Miriam" w:hint="cs"/>
                      <w:szCs w:val="18"/>
                      <w:rtl/>
                    </w:rPr>
                    <w:t>ן וחשבון</w:t>
                  </w:r>
                </w:p>
              </w:txbxContent>
            </v:textbox>
            <w10:anchorlock/>
          </v:rect>
        </w:pict>
      </w:r>
      <w:r>
        <w:rPr>
          <w:rStyle w:val="big-number"/>
          <w:rtl/>
        </w:rPr>
        <w:t>1.</w:t>
      </w:r>
      <w:r>
        <w:rPr>
          <w:rStyle w:val="big-number"/>
          <w:rtl/>
        </w:rPr>
        <w:tab/>
      </w:r>
      <w:r>
        <w:rPr>
          <w:rStyle w:val="default"/>
          <w:rFonts w:cs="FrankRuehl"/>
          <w:rtl/>
        </w:rPr>
        <w:t>כ</w:t>
      </w:r>
      <w:r>
        <w:rPr>
          <w:rStyle w:val="default"/>
          <w:rFonts w:cs="FrankRuehl" w:hint="cs"/>
          <w:rtl/>
        </w:rPr>
        <w:t>ל מעביד יגיש לקרן ההשוואה דין וחשבון חתום בידו כל חודש, לא יאוחר מיום ה-15 בו.</w:t>
      </w:r>
    </w:p>
    <w:p w14:paraId="44E5C011" w14:textId="77777777" w:rsidR="00FB2F53" w:rsidRDefault="00FB2F53">
      <w:pPr>
        <w:pStyle w:val="P00"/>
        <w:spacing w:before="72"/>
        <w:ind w:left="0" w:right="1134"/>
        <w:rPr>
          <w:rStyle w:val="default"/>
          <w:rFonts w:cs="FrankRuehl" w:hint="cs"/>
          <w:rtl/>
        </w:rPr>
      </w:pPr>
      <w:bookmarkStart w:id="1" w:name="Seif1"/>
      <w:bookmarkEnd w:id="1"/>
      <w:r>
        <w:rPr>
          <w:lang w:val="he-IL"/>
        </w:rPr>
        <w:pict w14:anchorId="265D9345">
          <v:rect id="_x0000_s1027" style="position:absolute;left:0;text-align:left;margin-left:464.5pt;margin-top:8.05pt;width:75.05pt;height:27.4pt;z-index:251655680" o:allowincell="f" filled="f" stroked="f" strokecolor="lime" strokeweight=".25pt">
            <v:textbox inset="0,0,0,0">
              <w:txbxContent>
                <w:p w14:paraId="489873DA" w14:textId="77777777" w:rsidR="00FB2F53" w:rsidRDefault="00FB2F53">
                  <w:pPr>
                    <w:spacing w:line="160" w:lineRule="exact"/>
                    <w:jc w:val="left"/>
                    <w:rPr>
                      <w:rFonts w:cs="Miriam" w:hint="cs"/>
                      <w:szCs w:val="18"/>
                      <w:rtl/>
                    </w:rPr>
                  </w:pPr>
                  <w:r>
                    <w:rPr>
                      <w:rFonts w:cs="Miriam"/>
                      <w:szCs w:val="18"/>
                      <w:rtl/>
                    </w:rPr>
                    <w:t>ד</w:t>
                  </w:r>
                  <w:r>
                    <w:rPr>
                      <w:rFonts w:cs="Miriam" w:hint="cs"/>
                      <w:szCs w:val="18"/>
                      <w:rtl/>
                    </w:rPr>
                    <w:t xml:space="preserve">רך הגשת </w:t>
                  </w:r>
                  <w:r>
                    <w:rPr>
                      <w:rFonts w:cs="Miriam"/>
                      <w:szCs w:val="18"/>
                      <w:rtl/>
                    </w:rPr>
                    <w:t>ה</w:t>
                  </w:r>
                  <w:r>
                    <w:rPr>
                      <w:rFonts w:cs="Miriam" w:hint="cs"/>
                      <w:szCs w:val="18"/>
                      <w:rtl/>
                    </w:rPr>
                    <w:t>דין וחשבון</w:t>
                  </w:r>
                </w:p>
                <w:p w14:paraId="1BA13EC6" w14:textId="77777777" w:rsidR="00FB2F53" w:rsidRDefault="00FB2F53">
                  <w:pPr>
                    <w:spacing w:line="160" w:lineRule="exact"/>
                    <w:jc w:val="left"/>
                    <w:rPr>
                      <w:rFonts w:cs="Miriam"/>
                      <w:noProof/>
                      <w:szCs w:val="18"/>
                      <w:rtl/>
                    </w:rPr>
                  </w:pPr>
                  <w:r>
                    <w:rPr>
                      <w:rFonts w:cs="Miriam" w:hint="cs"/>
                      <w:szCs w:val="18"/>
                      <w:rtl/>
                    </w:rPr>
                    <w:t>תק' תשי"ט-1959</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דין וחשבון יוגש לקרן ההשוואה באמצעות המוסד לביטוח לאומי או באמצעות פקיד השומה כמשמעותו בפקודת מס הכנסה, 1947.</w:t>
      </w:r>
    </w:p>
    <w:p w14:paraId="3D0634B4" w14:textId="77777777" w:rsidR="00FB2F53" w:rsidRPr="00E504D0" w:rsidRDefault="00FB2F53">
      <w:pPr>
        <w:pStyle w:val="P00"/>
        <w:spacing w:before="0"/>
        <w:ind w:left="0" w:right="1134"/>
        <w:rPr>
          <w:rFonts w:hint="cs"/>
          <w:b/>
          <w:bCs/>
          <w:vanish/>
          <w:szCs w:val="20"/>
          <w:shd w:val="clear" w:color="auto" w:fill="FFFF99"/>
          <w:rtl/>
        </w:rPr>
      </w:pPr>
      <w:bookmarkStart w:id="2" w:name="Rov12"/>
      <w:r w:rsidRPr="00E504D0">
        <w:rPr>
          <w:rFonts w:hint="cs"/>
          <w:vanish/>
          <w:color w:val="FF0000"/>
          <w:szCs w:val="20"/>
          <w:shd w:val="clear" w:color="auto" w:fill="FFFF99"/>
          <w:rtl/>
        </w:rPr>
        <w:t>מיום 19.3.1959</w:t>
      </w:r>
    </w:p>
    <w:p w14:paraId="32209FC7" w14:textId="77777777" w:rsidR="00FB2F53" w:rsidRPr="00E504D0" w:rsidRDefault="00FB2F53">
      <w:pPr>
        <w:pStyle w:val="P00"/>
        <w:spacing w:before="0"/>
        <w:ind w:left="0" w:right="1134"/>
        <w:rPr>
          <w:rFonts w:hint="cs"/>
          <w:b/>
          <w:bCs/>
          <w:vanish/>
          <w:szCs w:val="20"/>
          <w:shd w:val="clear" w:color="auto" w:fill="FFFF99"/>
          <w:rtl/>
        </w:rPr>
      </w:pPr>
      <w:r w:rsidRPr="00E504D0">
        <w:rPr>
          <w:rFonts w:hint="cs"/>
          <w:b/>
          <w:bCs/>
          <w:vanish/>
          <w:szCs w:val="20"/>
          <w:shd w:val="clear" w:color="auto" w:fill="FFFF99"/>
          <w:rtl/>
        </w:rPr>
        <w:t>תק' תשי"ט-1959</w:t>
      </w:r>
    </w:p>
    <w:p w14:paraId="289E6C96" w14:textId="77777777" w:rsidR="00FB2F53" w:rsidRPr="00E504D0" w:rsidRDefault="00FB2F53">
      <w:pPr>
        <w:pStyle w:val="P00"/>
        <w:tabs>
          <w:tab w:val="clear" w:pos="6259"/>
        </w:tabs>
        <w:spacing w:before="0"/>
        <w:ind w:left="0" w:right="1134"/>
        <w:rPr>
          <w:rFonts w:hint="cs"/>
          <w:vanish/>
          <w:szCs w:val="20"/>
          <w:shd w:val="clear" w:color="auto" w:fill="FFFF99"/>
          <w:rtl/>
        </w:rPr>
      </w:pPr>
      <w:hyperlink r:id="rId6" w:history="1">
        <w:r w:rsidRPr="00E504D0">
          <w:rPr>
            <w:rStyle w:val="Hyperlink"/>
            <w:rFonts w:hint="cs"/>
            <w:vanish/>
            <w:szCs w:val="20"/>
            <w:shd w:val="clear" w:color="auto" w:fill="FFFF99"/>
            <w:rtl/>
          </w:rPr>
          <w:t>ק"ת תשי"ט מס' 884</w:t>
        </w:r>
      </w:hyperlink>
      <w:r w:rsidRPr="00E504D0">
        <w:rPr>
          <w:rFonts w:hint="cs"/>
          <w:vanish/>
          <w:szCs w:val="20"/>
          <w:shd w:val="clear" w:color="auto" w:fill="FFFF99"/>
          <w:rtl/>
        </w:rPr>
        <w:t xml:space="preserve"> מיום 19.3.1957 עמ' 1039</w:t>
      </w:r>
    </w:p>
    <w:p w14:paraId="60B8816B" w14:textId="77777777" w:rsidR="00FB2F53" w:rsidRDefault="00FB2F53">
      <w:pPr>
        <w:pStyle w:val="P00"/>
        <w:ind w:left="0" w:right="1134"/>
        <w:rPr>
          <w:rStyle w:val="default"/>
          <w:rFonts w:cs="FrankRuehl" w:hint="cs"/>
          <w:sz w:val="2"/>
          <w:szCs w:val="2"/>
          <w:rtl/>
        </w:rPr>
      </w:pPr>
      <w:r w:rsidRPr="00E504D0">
        <w:rPr>
          <w:rStyle w:val="big-number"/>
          <w:rFonts w:cs="FrankRuehl"/>
          <w:vanish/>
          <w:sz w:val="22"/>
          <w:szCs w:val="22"/>
          <w:shd w:val="clear" w:color="auto" w:fill="FFFF99"/>
          <w:rtl/>
        </w:rPr>
        <w:t>2.</w:t>
      </w:r>
      <w:r w:rsidRPr="00E504D0">
        <w:rPr>
          <w:rStyle w:val="big-number"/>
          <w:rFonts w:cs="FrankRuehl"/>
          <w:vanish/>
          <w:sz w:val="22"/>
          <w:szCs w:val="22"/>
          <w:shd w:val="clear" w:color="auto" w:fill="FFFF99"/>
          <w:rtl/>
        </w:rPr>
        <w:tab/>
      </w:r>
      <w:r w:rsidRPr="00E504D0">
        <w:rPr>
          <w:rStyle w:val="default"/>
          <w:rFonts w:cs="FrankRuehl"/>
          <w:vanish/>
          <w:sz w:val="22"/>
          <w:szCs w:val="22"/>
          <w:shd w:val="clear" w:color="auto" w:fill="FFFF99"/>
          <w:rtl/>
        </w:rPr>
        <w:t>ה</w:t>
      </w:r>
      <w:r w:rsidRPr="00E504D0">
        <w:rPr>
          <w:rStyle w:val="default"/>
          <w:rFonts w:cs="FrankRuehl" w:hint="cs"/>
          <w:vanish/>
          <w:sz w:val="22"/>
          <w:szCs w:val="22"/>
          <w:shd w:val="clear" w:color="auto" w:fill="FFFF99"/>
          <w:rtl/>
        </w:rPr>
        <w:t xml:space="preserve">דין וחשבון יוגש </w:t>
      </w:r>
      <w:r w:rsidRPr="00E504D0">
        <w:rPr>
          <w:rStyle w:val="default"/>
          <w:rFonts w:cs="FrankRuehl" w:hint="cs"/>
          <w:strike/>
          <w:vanish/>
          <w:sz w:val="22"/>
          <w:szCs w:val="22"/>
          <w:shd w:val="clear" w:color="auto" w:fill="FFFF99"/>
          <w:rtl/>
        </w:rPr>
        <w:t>לקרן ההשוואה במישרין</w:t>
      </w:r>
      <w:r w:rsidRPr="00E504D0">
        <w:rPr>
          <w:rStyle w:val="default"/>
          <w:rFonts w:cs="FrankRuehl" w:hint="cs"/>
          <w:vanish/>
          <w:sz w:val="22"/>
          <w:szCs w:val="22"/>
          <w:shd w:val="clear" w:color="auto" w:fill="FFFF99"/>
          <w:rtl/>
        </w:rPr>
        <w:t xml:space="preserve"> </w:t>
      </w:r>
      <w:r w:rsidRPr="00E504D0">
        <w:rPr>
          <w:rStyle w:val="default"/>
          <w:rFonts w:cs="FrankRuehl" w:hint="cs"/>
          <w:vanish/>
          <w:sz w:val="22"/>
          <w:szCs w:val="22"/>
          <w:u w:val="single"/>
          <w:shd w:val="clear" w:color="auto" w:fill="FFFF99"/>
          <w:rtl/>
        </w:rPr>
        <w:t>לקרן ההשוואה באמצעות המוסד לביטוח לאומי</w:t>
      </w:r>
      <w:r w:rsidRPr="00E504D0">
        <w:rPr>
          <w:rStyle w:val="default"/>
          <w:rFonts w:cs="FrankRuehl" w:hint="cs"/>
          <w:vanish/>
          <w:sz w:val="22"/>
          <w:szCs w:val="22"/>
          <w:shd w:val="clear" w:color="auto" w:fill="FFFF99"/>
          <w:rtl/>
        </w:rPr>
        <w:t xml:space="preserve"> או באמצעות פקיד השומה כמשמעותו בפקודת מס הכנסה, 1947.</w:t>
      </w:r>
      <w:bookmarkEnd w:id="2"/>
    </w:p>
    <w:p w14:paraId="2149D84A" w14:textId="77777777" w:rsidR="00FB2F53" w:rsidRDefault="00FB2F53">
      <w:pPr>
        <w:pStyle w:val="P00"/>
        <w:spacing w:before="72"/>
        <w:ind w:left="0" w:right="1134"/>
        <w:rPr>
          <w:rStyle w:val="default"/>
          <w:rFonts w:cs="FrankRuehl"/>
          <w:rtl/>
        </w:rPr>
      </w:pPr>
      <w:bookmarkStart w:id="3" w:name="Seif2"/>
      <w:bookmarkEnd w:id="3"/>
      <w:r>
        <w:rPr>
          <w:lang w:val="he-IL"/>
        </w:rPr>
        <w:pict w14:anchorId="6EE7949B">
          <v:rect id="_x0000_s1028" style="position:absolute;left:0;text-align:left;margin-left:464.5pt;margin-top:8.05pt;width:75.05pt;height:16pt;z-index:251656704" o:allowincell="f" filled="f" stroked="f" strokecolor="lime" strokeweight=".25pt">
            <v:textbox inset="0,0,0,0">
              <w:txbxContent>
                <w:p w14:paraId="45A3AE4B" w14:textId="77777777" w:rsidR="00FB2F53" w:rsidRDefault="00FB2F53">
                  <w:pPr>
                    <w:spacing w:line="160" w:lineRule="exact"/>
                    <w:jc w:val="left"/>
                    <w:rPr>
                      <w:rFonts w:cs="Miriam"/>
                      <w:noProof/>
                      <w:szCs w:val="18"/>
                      <w:rtl/>
                    </w:rPr>
                  </w:pPr>
                  <w:r>
                    <w:rPr>
                      <w:rFonts w:cs="Miriam"/>
                      <w:szCs w:val="18"/>
                      <w:rtl/>
                    </w:rPr>
                    <w:t>פ</w:t>
                  </w:r>
                  <w:r>
                    <w:rPr>
                      <w:rFonts w:cs="Miriam" w:hint="cs"/>
                      <w:szCs w:val="18"/>
                      <w:rtl/>
                    </w:rPr>
                    <w:t>רטי הדי</w:t>
                  </w:r>
                  <w:r>
                    <w:rPr>
                      <w:rFonts w:cs="Miriam"/>
                      <w:szCs w:val="18"/>
                      <w:rtl/>
                    </w:rPr>
                    <w:t>ן</w:t>
                  </w:r>
                  <w:r>
                    <w:rPr>
                      <w:rFonts w:cs="Miriam" w:hint="cs"/>
                      <w:szCs w:val="18"/>
                      <w:rtl/>
                    </w:rPr>
                    <w:t xml:space="preserve"> </w:t>
                  </w:r>
                  <w:r>
                    <w:rPr>
                      <w:rFonts w:cs="Miriam"/>
                      <w:szCs w:val="18"/>
                      <w:rtl/>
                    </w:rPr>
                    <w:t>ו</w:t>
                  </w:r>
                  <w:r>
                    <w:rPr>
                      <w:rFonts w:cs="Miriam" w:hint="cs"/>
                      <w:szCs w:val="18"/>
                      <w:rtl/>
                    </w:rPr>
                    <w:t>חשבון</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הדין וחשבון עב</w:t>
      </w:r>
      <w:r>
        <w:rPr>
          <w:rStyle w:val="default"/>
          <w:rFonts w:cs="FrankRuehl"/>
          <w:rtl/>
        </w:rPr>
        <w:t>ו</w:t>
      </w:r>
      <w:r>
        <w:rPr>
          <w:rStyle w:val="default"/>
          <w:rFonts w:cs="FrankRuehl" w:hint="cs"/>
          <w:rtl/>
        </w:rPr>
        <w:t>ר עובדים במשכורת וכן עובדים בשכר שעבדו שבעים וחמישה יום רצופים לפחות יכלול את שם המעביד ומענו, תקופת הדין וחשבון, המשכורת או השכר ששולמו לעובדים בתקופת הדין וחשבון וסכום התשלום לקרן ההשוואה.</w:t>
      </w:r>
    </w:p>
    <w:p w14:paraId="28FB505F" w14:textId="77777777" w:rsidR="00FB2F53" w:rsidRDefault="00FB2F5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הדין וחשבון עבור עובדים בשכר שעבדו פחות משבעים וחמישה יום ר</w:t>
      </w:r>
      <w:r>
        <w:rPr>
          <w:rStyle w:val="default"/>
          <w:rFonts w:cs="FrankRuehl"/>
          <w:rtl/>
        </w:rPr>
        <w:t>צ</w:t>
      </w:r>
      <w:r>
        <w:rPr>
          <w:rStyle w:val="default"/>
          <w:rFonts w:cs="FrankRuehl" w:hint="cs"/>
          <w:rtl/>
        </w:rPr>
        <w:t>ופים יכלול את שם המעביד ומענו, תקופת הדין וחשבון, שם העובד ומספר זהותו, תקופת העבודה, השכר ששולם לעובד וסכום התשלום לקרן ההשוואה. המעביד יתן לעובד העתק מהדין וחשבון.</w:t>
      </w:r>
    </w:p>
    <w:p w14:paraId="4C471CE9" w14:textId="77777777" w:rsidR="00FB2F53" w:rsidRDefault="00FB2F53">
      <w:pPr>
        <w:pStyle w:val="P00"/>
        <w:spacing w:before="72"/>
        <w:ind w:left="0" w:right="1134"/>
        <w:rPr>
          <w:rStyle w:val="default"/>
          <w:rFonts w:cs="FrankRuehl" w:hint="cs"/>
          <w:rtl/>
        </w:rPr>
      </w:pPr>
      <w:bookmarkStart w:id="4" w:name="Seif3"/>
      <w:bookmarkEnd w:id="4"/>
      <w:r>
        <w:rPr>
          <w:lang w:val="he-IL"/>
        </w:rPr>
        <w:pict w14:anchorId="453CF6A5">
          <v:rect id="_x0000_s1029" style="position:absolute;left:0;text-align:left;margin-left:464.5pt;margin-top:8.05pt;width:75.05pt;height:18.95pt;z-index:251657728" o:allowincell="f" filled="f" stroked="f" strokecolor="lime" strokeweight=".25pt">
            <v:textbox inset="0,0,0,0">
              <w:txbxContent>
                <w:p w14:paraId="5D0618BB" w14:textId="77777777" w:rsidR="00FB2F53" w:rsidRDefault="00FB2F53">
                  <w:pPr>
                    <w:spacing w:line="160" w:lineRule="exact"/>
                    <w:jc w:val="left"/>
                    <w:rPr>
                      <w:rFonts w:cs="Miriam" w:hint="cs"/>
                      <w:szCs w:val="18"/>
                      <w:rtl/>
                    </w:rPr>
                  </w:pPr>
                  <w:r>
                    <w:rPr>
                      <w:rFonts w:cs="Miriam"/>
                      <w:szCs w:val="18"/>
                      <w:rtl/>
                    </w:rPr>
                    <w:t>ד</w:t>
                  </w:r>
                  <w:r>
                    <w:rPr>
                      <w:rFonts w:cs="Miriam" w:hint="cs"/>
                      <w:szCs w:val="18"/>
                      <w:rtl/>
                    </w:rPr>
                    <w:t>רך התשלום</w:t>
                  </w:r>
                </w:p>
                <w:p w14:paraId="4DEFB2E5" w14:textId="77777777" w:rsidR="00FB2F53" w:rsidRDefault="00FB2F53">
                  <w:pPr>
                    <w:spacing w:line="160" w:lineRule="exact"/>
                    <w:jc w:val="left"/>
                    <w:rPr>
                      <w:rFonts w:cs="Miriam"/>
                      <w:noProof/>
                      <w:szCs w:val="18"/>
                      <w:rtl/>
                    </w:rPr>
                  </w:pPr>
                  <w:r>
                    <w:rPr>
                      <w:rFonts w:cs="Miriam" w:hint="cs"/>
                      <w:szCs w:val="18"/>
                      <w:rtl/>
                    </w:rPr>
                    <w:t>תק' תשי"ט-1959</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עביד או עובד עצמאי ישלמו את התשלום לפי סעיף 12 לחוק לקרן ההשוואה באמצעו</w:t>
      </w:r>
      <w:r>
        <w:rPr>
          <w:rStyle w:val="default"/>
          <w:rFonts w:cs="FrankRuehl"/>
          <w:rtl/>
        </w:rPr>
        <w:t>ת</w:t>
      </w:r>
      <w:r>
        <w:rPr>
          <w:rStyle w:val="default"/>
          <w:rFonts w:cs="FrankRuehl" w:hint="cs"/>
          <w:rtl/>
        </w:rPr>
        <w:t xml:space="preserve"> המוסד לביטוח לאומי או באמצעות פקיד השומה כאמור בתקנה 2.</w:t>
      </w:r>
    </w:p>
    <w:p w14:paraId="5F2CECA9" w14:textId="77777777" w:rsidR="00FB2F53" w:rsidRPr="00E504D0" w:rsidRDefault="00FB2F53">
      <w:pPr>
        <w:pStyle w:val="P00"/>
        <w:spacing w:before="0"/>
        <w:ind w:left="0" w:right="1134"/>
        <w:rPr>
          <w:rFonts w:hint="cs"/>
          <w:b/>
          <w:bCs/>
          <w:vanish/>
          <w:szCs w:val="20"/>
          <w:shd w:val="clear" w:color="auto" w:fill="FFFF99"/>
          <w:rtl/>
        </w:rPr>
      </w:pPr>
      <w:bookmarkStart w:id="5" w:name="Rov11"/>
      <w:r w:rsidRPr="00E504D0">
        <w:rPr>
          <w:rFonts w:hint="cs"/>
          <w:vanish/>
          <w:color w:val="FF0000"/>
          <w:szCs w:val="20"/>
          <w:shd w:val="clear" w:color="auto" w:fill="FFFF99"/>
          <w:rtl/>
        </w:rPr>
        <w:t>מיום 19.3.1959</w:t>
      </w:r>
    </w:p>
    <w:p w14:paraId="597FFD50" w14:textId="77777777" w:rsidR="00FB2F53" w:rsidRPr="00E504D0" w:rsidRDefault="00FB2F53">
      <w:pPr>
        <w:pStyle w:val="P00"/>
        <w:spacing w:before="0"/>
        <w:ind w:left="0" w:right="1134"/>
        <w:rPr>
          <w:rFonts w:hint="cs"/>
          <w:b/>
          <w:bCs/>
          <w:vanish/>
          <w:szCs w:val="20"/>
          <w:shd w:val="clear" w:color="auto" w:fill="FFFF99"/>
          <w:rtl/>
        </w:rPr>
      </w:pPr>
      <w:r w:rsidRPr="00E504D0">
        <w:rPr>
          <w:rFonts w:hint="cs"/>
          <w:b/>
          <w:bCs/>
          <w:vanish/>
          <w:szCs w:val="20"/>
          <w:shd w:val="clear" w:color="auto" w:fill="FFFF99"/>
          <w:rtl/>
        </w:rPr>
        <w:t>תק' תשי"ט-1959</w:t>
      </w:r>
    </w:p>
    <w:p w14:paraId="1E25D1D0" w14:textId="77777777" w:rsidR="00FB2F53" w:rsidRPr="00E504D0" w:rsidRDefault="00FB2F53">
      <w:pPr>
        <w:pStyle w:val="P00"/>
        <w:tabs>
          <w:tab w:val="clear" w:pos="6259"/>
        </w:tabs>
        <w:spacing w:before="0"/>
        <w:ind w:left="0" w:right="1134"/>
        <w:rPr>
          <w:rFonts w:hint="cs"/>
          <w:vanish/>
          <w:szCs w:val="20"/>
          <w:shd w:val="clear" w:color="auto" w:fill="FFFF99"/>
          <w:rtl/>
        </w:rPr>
      </w:pPr>
      <w:hyperlink r:id="rId7" w:history="1">
        <w:r w:rsidRPr="00E504D0">
          <w:rPr>
            <w:rStyle w:val="Hyperlink"/>
            <w:rFonts w:hint="cs"/>
            <w:vanish/>
            <w:szCs w:val="20"/>
            <w:shd w:val="clear" w:color="auto" w:fill="FFFF99"/>
            <w:rtl/>
          </w:rPr>
          <w:t>ק"ת תשי"ט מס' 884</w:t>
        </w:r>
      </w:hyperlink>
      <w:r w:rsidRPr="00E504D0">
        <w:rPr>
          <w:rFonts w:hint="cs"/>
          <w:vanish/>
          <w:szCs w:val="20"/>
          <w:shd w:val="clear" w:color="auto" w:fill="FFFF99"/>
          <w:rtl/>
        </w:rPr>
        <w:t xml:space="preserve"> מיום 19.3.1957 עמ' 1039</w:t>
      </w:r>
    </w:p>
    <w:p w14:paraId="2BEED3AF" w14:textId="77777777" w:rsidR="00FB2F53" w:rsidRPr="00E504D0" w:rsidRDefault="00FB2F53">
      <w:pPr>
        <w:pStyle w:val="P00"/>
        <w:tabs>
          <w:tab w:val="clear" w:pos="6259"/>
        </w:tabs>
        <w:spacing w:before="0"/>
        <w:ind w:left="0" w:right="1134"/>
        <w:rPr>
          <w:rFonts w:hint="cs"/>
          <w:b/>
          <w:bCs/>
          <w:vanish/>
          <w:szCs w:val="20"/>
          <w:shd w:val="clear" w:color="auto" w:fill="FFFF99"/>
          <w:rtl/>
        </w:rPr>
      </w:pPr>
      <w:r w:rsidRPr="00E504D0">
        <w:rPr>
          <w:rFonts w:hint="cs"/>
          <w:b/>
          <w:bCs/>
          <w:vanish/>
          <w:szCs w:val="20"/>
          <w:shd w:val="clear" w:color="auto" w:fill="FFFF99"/>
          <w:rtl/>
        </w:rPr>
        <w:t>החלפת תקנה 4</w:t>
      </w:r>
    </w:p>
    <w:p w14:paraId="043BA01E" w14:textId="77777777" w:rsidR="00FB2F53" w:rsidRPr="00E504D0" w:rsidRDefault="00FB2F53">
      <w:pPr>
        <w:pStyle w:val="P00"/>
        <w:tabs>
          <w:tab w:val="clear" w:pos="6259"/>
        </w:tabs>
        <w:ind w:left="0" w:right="1134"/>
        <w:rPr>
          <w:rFonts w:hint="cs"/>
          <w:vanish/>
          <w:szCs w:val="20"/>
          <w:shd w:val="clear" w:color="auto" w:fill="FFFF99"/>
          <w:rtl/>
        </w:rPr>
      </w:pPr>
      <w:r w:rsidRPr="00E504D0">
        <w:rPr>
          <w:rFonts w:hint="cs"/>
          <w:vanish/>
          <w:szCs w:val="20"/>
          <w:shd w:val="clear" w:color="auto" w:fill="FFFF99"/>
          <w:rtl/>
        </w:rPr>
        <w:t>הנוסח הקודם:</w:t>
      </w:r>
    </w:p>
    <w:p w14:paraId="7E7A5392" w14:textId="77777777" w:rsidR="00FB2F53" w:rsidRPr="00E504D0" w:rsidRDefault="00FB2F53">
      <w:pPr>
        <w:pStyle w:val="P00"/>
        <w:tabs>
          <w:tab w:val="clear" w:pos="6259"/>
        </w:tabs>
        <w:spacing w:before="20"/>
        <w:ind w:left="0" w:right="1134"/>
        <w:rPr>
          <w:rFonts w:cs="Miriam" w:hint="cs"/>
          <w:strike/>
          <w:vanish/>
          <w:sz w:val="16"/>
          <w:szCs w:val="16"/>
          <w:shd w:val="clear" w:color="auto" w:fill="FFFF99"/>
          <w:rtl/>
        </w:rPr>
      </w:pPr>
      <w:r w:rsidRPr="00E504D0">
        <w:rPr>
          <w:rFonts w:cs="Miriam" w:hint="cs"/>
          <w:strike/>
          <w:vanish/>
          <w:sz w:val="16"/>
          <w:szCs w:val="16"/>
          <w:shd w:val="clear" w:color="auto" w:fill="FFFF99"/>
          <w:rtl/>
        </w:rPr>
        <w:t>תשלום לקרן השוואה</w:t>
      </w:r>
    </w:p>
    <w:p w14:paraId="35E4FC7B" w14:textId="77777777" w:rsidR="00FB2F53" w:rsidRDefault="00FB2F53">
      <w:pPr>
        <w:pStyle w:val="P00"/>
        <w:tabs>
          <w:tab w:val="clear" w:pos="6259"/>
        </w:tabs>
        <w:spacing w:before="0"/>
        <w:ind w:left="0" w:right="1134"/>
        <w:rPr>
          <w:rFonts w:hint="cs"/>
          <w:strike/>
          <w:sz w:val="2"/>
          <w:szCs w:val="2"/>
          <w:rtl/>
        </w:rPr>
      </w:pPr>
      <w:r w:rsidRPr="00E504D0">
        <w:rPr>
          <w:rFonts w:hint="cs"/>
          <w:strike/>
          <w:vanish/>
          <w:sz w:val="22"/>
          <w:szCs w:val="22"/>
          <w:shd w:val="clear" w:color="auto" w:fill="FFFF99"/>
          <w:rtl/>
        </w:rPr>
        <w:t>4.</w:t>
      </w:r>
      <w:r w:rsidRPr="00E504D0">
        <w:rPr>
          <w:rFonts w:hint="cs"/>
          <w:strike/>
          <w:vanish/>
          <w:sz w:val="22"/>
          <w:szCs w:val="22"/>
          <w:shd w:val="clear" w:color="auto" w:fill="FFFF99"/>
          <w:rtl/>
        </w:rPr>
        <w:tab/>
        <w:t>כל מעביד ישלם כל חודש, לא יאוחר מיום ה-15 בו, את התשלום לפי סעיף 12 לחוק לקרן ההשוואה במישרין או באמצעות פקיד השומה כאמור בתקנה 2.</w:t>
      </w:r>
      <w:bookmarkEnd w:id="5"/>
    </w:p>
    <w:p w14:paraId="2CB6B8A7" w14:textId="77777777" w:rsidR="00FB2F53" w:rsidRDefault="00FB2F53">
      <w:pPr>
        <w:pStyle w:val="P00"/>
        <w:spacing w:before="72"/>
        <w:ind w:left="0" w:right="1134"/>
        <w:rPr>
          <w:rStyle w:val="default"/>
          <w:rFonts w:cs="FrankRuehl" w:hint="cs"/>
          <w:rtl/>
        </w:rPr>
      </w:pPr>
      <w:bookmarkStart w:id="6" w:name="Seif4"/>
      <w:bookmarkEnd w:id="6"/>
      <w:r>
        <w:rPr>
          <w:lang w:val="he-IL"/>
        </w:rPr>
        <w:pict w14:anchorId="4ECEE6FD">
          <v:rect id="_x0000_s1030" style="position:absolute;left:0;text-align:left;margin-left:464.5pt;margin-top:8.05pt;width:75.05pt;height:19.45pt;z-index:251658752" o:allowincell="f" filled="f" stroked="f" strokecolor="lime" strokeweight=".25pt">
            <v:textbox inset="0,0,0,0">
              <w:txbxContent>
                <w:p w14:paraId="744BA1C1" w14:textId="77777777" w:rsidR="00FB2F53" w:rsidRDefault="00FB2F53">
                  <w:pPr>
                    <w:spacing w:line="160" w:lineRule="exact"/>
                    <w:jc w:val="left"/>
                    <w:rPr>
                      <w:rFonts w:cs="Miriam" w:hint="cs"/>
                      <w:szCs w:val="18"/>
                      <w:rtl/>
                    </w:rPr>
                  </w:pPr>
                  <w:r>
                    <w:rPr>
                      <w:rFonts w:cs="Miriam"/>
                      <w:szCs w:val="18"/>
                      <w:rtl/>
                    </w:rPr>
                    <w:t>מ</w:t>
                  </w:r>
                  <w:r>
                    <w:rPr>
                      <w:rFonts w:cs="Miriam" w:hint="cs"/>
                      <w:szCs w:val="18"/>
                      <w:rtl/>
                    </w:rPr>
                    <w:t>ועד התשלום</w:t>
                  </w:r>
                </w:p>
                <w:p w14:paraId="14894BF2" w14:textId="77777777" w:rsidR="00FB2F53" w:rsidRDefault="00FB2F53">
                  <w:pPr>
                    <w:spacing w:line="160" w:lineRule="exact"/>
                    <w:jc w:val="left"/>
                    <w:rPr>
                      <w:rFonts w:cs="Miriam"/>
                      <w:noProof/>
                      <w:szCs w:val="18"/>
                      <w:rtl/>
                    </w:rPr>
                  </w:pPr>
                  <w:r>
                    <w:rPr>
                      <w:rFonts w:cs="Miriam" w:hint="cs"/>
                      <w:szCs w:val="18"/>
                      <w:rtl/>
                    </w:rPr>
                    <w:t>תק' תשי"ט-1959</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מעביד ישלם את התשלום לפי סעיף 12 לחוק כל חודש, ולא יאוחר מה-15 בו.</w:t>
      </w:r>
    </w:p>
    <w:p w14:paraId="78D69A75" w14:textId="77777777" w:rsidR="00FB2F53" w:rsidRPr="00E504D0" w:rsidRDefault="00FB2F53">
      <w:pPr>
        <w:pStyle w:val="P00"/>
        <w:spacing w:before="0"/>
        <w:ind w:left="0" w:right="1134"/>
        <w:rPr>
          <w:rFonts w:hint="cs"/>
          <w:b/>
          <w:bCs/>
          <w:vanish/>
          <w:szCs w:val="20"/>
          <w:shd w:val="clear" w:color="auto" w:fill="FFFF99"/>
          <w:rtl/>
        </w:rPr>
      </w:pPr>
      <w:bookmarkStart w:id="7" w:name="Rov10"/>
      <w:r w:rsidRPr="00E504D0">
        <w:rPr>
          <w:rFonts w:hint="cs"/>
          <w:vanish/>
          <w:color w:val="FF0000"/>
          <w:szCs w:val="20"/>
          <w:shd w:val="clear" w:color="auto" w:fill="FFFF99"/>
          <w:rtl/>
        </w:rPr>
        <w:t>מיום 19.3.1959</w:t>
      </w:r>
    </w:p>
    <w:p w14:paraId="5BF078C2" w14:textId="77777777" w:rsidR="00FB2F53" w:rsidRPr="00E504D0" w:rsidRDefault="00FB2F53">
      <w:pPr>
        <w:pStyle w:val="P00"/>
        <w:spacing w:before="0"/>
        <w:ind w:left="0" w:right="1134"/>
        <w:rPr>
          <w:rFonts w:hint="cs"/>
          <w:b/>
          <w:bCs/>
          <w:vanish/>
          <w:szCs w:val="20"/>
          <w:shd w:val="clear" w:color="auto" w:fill="FFFF99"/>
          <w:rtl/>
        </w:rPr>
      </w:pPr>
      <w:r w:rsidRPr="00E504D0">
        <w:rPr>
          <w:rFonts w:hint="cs"/>
          <w:b/>
          <w:bCs/>
          <w:vanish/>
          <w:szCs w:val="20"/>
          <w:shd w:val="clear" w:color="auto" w:fill="FFFF99"/>
          <w:rtl/>
        </w:rPr>
        <w:t>תק' תשי"ט-1959</w:t>
      </w:r>
    </w:p>
    <w:p w14:paraId="335586DD" w14:textId="77777777" w:rsidR="00FB2F53" w:rsidRPr="00E504D0" w:rsidRDefault="00FB2F53">
      <w:pPr>
        <w:pStyle w:val="P00"/>
        <w:tabs>
          <w:tab w:val="clear" w:pos="6259"/>
        </w:tabs>
        <w:spacing w:before="0"/>
        <w:ind w:left="0" w:right="1134"/>
        <w:rPr>
          <w:rFonts w:hint="cs"/>
          <w:vanish/>
          <w:szCs w:val="20"/>
          <w:shd w:val="clear" w:color="auto" w:fill="FFFF99"/>
          <w:rtl/>
        </w:rPr>
      </w:pPr>
      <w:hyperlink r:id="rId8" w:history="1">
        <w:r w:rsidRPr="00E504D0">
          <w:rPr>
            <w:rStyle w:val="Hyperlink"/>
            <w:rFonts w:hint="cs"/>
            <w:vanish/>
            <w:szCs w:val="20"/>
            <w:shd w:val="clear" w:color="auto" w:fill="FFFF99"/>
            <w:rtl/>
          </w:rPr>
          <w:t>ק"ת תשי"ט מס' 884</w:t>
        </w:r>
      </w:hyperlink>
      <w:r w:rsidRPr="00E504D0">
        <w:rPr>
          <w:rFonts w:hint="cs"/>
          <w:vanish/>
          <w:szCs w:val="20"/>
          <w:shd w:val="clear" w:color="auto" w:fill="FFFF99"/>
          <w:rtl/>
        </w:rPr>
        <w:t xml:space="preserve"> מיום 19.3.1957 עמ' 1039</w:t>
      </w:r>
    </w:p>
    <w:p w14:paraId="7323A4B3" w14:textId="77777777" w:rsidR="00FB2F53" w:rsidRDefault="00FB2F53">
      <w:pPr>
        <w:pStyle w:val="P00"/>
        <w:tabs>
          <w:tab w:val="clear" w:pos="6259"/>
        </w:tabs>
        <w:spacing w:before="0"/>
        <w:ind w:left="0" w:right="1134"/>
        <w:rPr>
          <w:rFonts w:hint="cs"/>
          <w:b/>
          <w:bCs/>
          <w:sz w:val="2"/>
          <w:szCs w:val="2"/>
          <w:rtl/>
        </w:rPr>
      </w:pPr>
      <w:r w:rsidRPr="00E504D0">
        <w:rPr>
          <w:rFonts w:hint="cs"/>
          <w:b/>
          <w:bCs/>
          <w:vanish/>
          <w:szCs w:val="20"/>
          <w:shd w:val="clear" w:color="auto" w:fill="FFFF99"/>
          <w:rtl/>
        </w:rPr>
        <w:t>הוספת תקנה 4א</w:t>
      </w:r>
      <w:bookmarkEnd w:id="7"/>
    </w:p>
    <w:p w14:paraId="39724DC1" w14:textId="77777777" w:rsidR="00FB2F53" w:rsidRDefault="00FB2F53">
      <w:pPr>
        <w:pStyle w:val="P00"/>
        <w:spacing w:before="72"/>
        <w:ind w:left="0" w:right="1134"/>
        <w:rPr>
          <w:rStyle w:val="default"/>
          <w:rFonts w:cs="FrankRuehl"/>
          <w:rtl/>
        </w:rPr>
      </w:pPr>
      <w:bookmarkStart w:id="8" w:name="Seif5"/>
      <w:bookmarkEnd w:id="8"/>
      <w:r>
        <w:rPr>
          <w:lang w:val="he-IL"/>
        </w:rPr>
        <w:pict w14:anchorId="728069F3">
          <v:rect id="_x0000_s1031" style="position:absolute;left:0;text-align:left;margin-left:464.5pt;margin-top:8.05pt;width:75.05pt;height:15.55pt;z-index:251659776" o:allowincell="f" filled="f" stroked="f" strokecolor="lime" strokeweight=".25pt">
            <v:textbox inset="0,0,0,0">
              <w:txbxContent>
                <w:p w14:paraId="3518C534" w14:textId="77777777" w:rsidR="00FB2F53" w:rsidRDefault="00FB2F53">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קנות שירות מילואים (תגמולים) (דינים וחשבונות ותשלומים לקרן ההשוואה), תשי"ב-1952 - בטלות.</w:t>
      </w:r>
    </w:p>
    <w:p w14:paraId="711DC026" w14:textId="77777777" w:rsidR="00FB2F53" w:rsidRDefault="00FB2F53">
      <w:pPr>
        <w:pStyle w:val="P00"/>
        <w:spacing w:before="72"/>
        <w:ind w:left="0" w:right="1134"/>
        <w:rPr>
          <w:rStyle w:val="default"/>
          <w:rFonts w:cs="FrankRuehl"/>
          <w:rtl/>
        </w:rPr>
      </w:pPr>
      <w:bookmarkStart w:id="9" w:name="Seif6"/>
      <w:bookmarkEnd w:id="9"/>
      <w:r>
        <w:rPr>
          <w:lang w:val="he-IL"/>
        </w:rPr>
        <w:pict w14:anchorId="436D7AA6">
          <v:rect id="_x0000_s1032" style="position:absolute;left:0;text-align:left;margin-left:464.5pt;margin-top:8.05pt;width:75.05pt;height:14.3pt;z-index:251660800" o:allowincell="f" filled="f" stroked="f" strokecolor="lime" strokeweight=".25pt">
            <v:textbox inset="0,0,0,0">
              <w:txbxContent>
                <w:p w14:paraId="758B281F" w14:textId="77777777" w:rsidR="00FB2F53" w:rsidRDefault="00FB2F53">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תקנות אלה ייקרא "תקנות שירות מילואים (תגמולים) (דינים וחשבונות ותשלומים לקרן ההשוואה), תשי"ז-1957".</w:t>
      </w:r>
    </w:p>
    <w:p w14:paraId="1D61663F" w14:textId="77777777" w:rsidR="00FB2F53" w:rsidRDefault="00FB2F53">
      <w:pPr>
        <w:pStyle w:val="P00"/>
        <w:spacing w:before="72"/>
        <w:ind w:left="0" w:right="1134"/>
        <w:rPr>
          <w:rStyle w:val="default"/>
          <w:rFonts w:cs="FrankRuehl"/>
          <w:rtl/>
        </w:rPr>
      </w:pPr>
    </w:p>
    <w:p w14:paraId="3C9C3CDA" w14:textId="77777777" w:rsidR="00FB2F53" w:rsidRDefault="00FB2F53">
      <w:pPr>
        <w:pStyle w:val="sig-0"/>
        <w:ind w:left="0" w:right="1134"/>
        <w:rPr>
          <w:rtl/>
        </w:rPr>
      </w:pPr>
      <w:r>
        <w:rPr>
          <w:rtl/>
        </w:rPr>
        <w:t>י</w:t>
      </w:r>
      <w:r>
        <w:rPr>
          <w:rFonts w:hint="cs"/>
          <w:rtl/>
        </w:rPr>
        <w:t>"ט בסיון תשי"ז (18 ביוני 1957).</w:t>
      </w:r>
      <w:r>
        <w:rPr>
          <w:rtl/>
        </w:rPr>
        <w:tab/>
      </w:r>
      <w:r>
        <w:rPr>
          <w:rFonts w:hint="cs"/>
          <w:rtl/>
        </w:rPr>
        <w:t>מרדכי נמיר</w:t>
      </w:r>
    </w:p>
    <w:p w14:paraId="50D7595A" w14:textId="77777777" w:rsidR="00FB2F53" w:rsidRDefault="00FB2F53">
      <w:pPr>
        <w:pStyle w:val="sig-1"/>
        <w:widowControl/>
        <w:ind w:left="0" w:right="1134"/>
        <w:rPr>
          <w:rFonts w:hint="cs"/>
          <w:rtl/>
        </w:rPr>
      </w:pPr>
      <w:r>
        <w:rPr>
          <w:rtl/>
        </w:rPr>
        <w:tab/>
      </w:r>
      <w:r>
        <w:rPr>
          <w:rtl/>
        </w:rPr>
        <w:tab/>
      </w:r>
      <w:r>
        <w:rPr>
          <w:rtl/>
        </w:rPr>
        <w:tab/>
      </w:r>
      <w:r>
        <w:rPr>
          <w:rFonts w:hint="cs"/>
          <w:rtl/>
        </w:rPr>
        <w:t>שר העבודה</w:t>
      </w:r>
    </w:p>
    <w:p w14:paraId="708BA995" w14:textId="77777777" w:rsidR="00FB2F53" w:rsidRDefault="00FB2F53">
      <w:pPr>
        <w:pStyle w:val="P00"/>
        <w:spacing w:before="72"/>
        <w:ind w:left="0" w:right="1134"/>
        <w:rPr>
          <w:rStyle w:val="default"/>
          <w:rFonts w:cs="FrankRuehl" w:hint="cs"/>
          <w:rtl/>
        </w:rPr>
      </w:pPr>
    </w:p>
    <w:p w14:paraId="38F5BBCE" w14:textId="77777777" w:rsidR="00FB2F53" w:rsidRDefault="00FB2F53">
      <w:pPr>
        <w:pStyle w:val="P00"/>
        <w:spacing w:before="72"/>
        <w:ind w:left="0" w:right="1134"/>
        <w:rPr>
          <w:rStyle w:val="default"/>
          <w:rFonts w:cs="FrankRuehl"/>
          <w:rtl/>
        </w:rPr>
      </w:pPr>
    </w:p>
    <w:p w14:paraId="46329F48" w14:textId="77777777" w:rsidR="00FB2F53" w:rsidRDefault="00FB2F53">
      <w:pPr>
        <w:pStyle w:val="P00"/>
        <w:spacing w:before="72"/>
        <w:ind w:left="0" w:right="1134"/>
        <w:rPr>
          <w:rStyle w:val="default"/>
          <w:rFonts w:cs="FrankRuehl"/>
          <w:rtl/>
        </w:rPr>
      </w:pPr>
      <w:bookmarkStart w:id="10" w:name="LawPartEnd"/>
    </w:p>
    <w:bookmarkEnd w:id="10"/>
    <w:p w14:paraId="1F157802" w14:textId="77777777" w:rsidR="00FB2F53" w:rsidRDefault="00FB2F53">
      <w:pPr>
        <w:pStyle w:val="P00"/>
        <w:spacing w:before="72"/>
        <w:ind w:left="0" w:right="1134"/>
        <w:rPr>
          <w:rStyle w:val="default"/>
          <w:rFonts w:cs="FrankRuehl"/>
          <w:rtl/>
        </w:rPr>
      </w:pPr>
    </w:p>
    <w:sectPr w:rsidR="00FB2F53">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4D41" w14:textId="77777777" w:rsidR="00D41743" w:rsidRDefault="00D41743">
      <w:r>
        <w:separator/>
      </w:r>
    </w:p>
  </w:endnote>
  <w:endnote w:type="continuationSeparator" w:id="0">
    <w:p w14:paraId="19C2DF08" w14:textId="77777777" w:rsidR="00D41743" w:rsidRDefault="00D4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7EE8" w14:textId="77777777" w:rsidR="00FB2F53" w:rsidRDefault="00FB2F5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C4B47E0" w14:textId="77777777" w:rsidR="00FB2F53" w:rsidRDefault="00FB2F5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111BB1" w14:textId="77777777" w:rsidR="00FB2F53" w:rsidRDefault="00FB2F5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4BC3" w14:textId="77777777" w:rsidR="00FB2F53" w:rsidRDefault="00FB2F5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233B5">
      <w:rPr>
        <w:rFonts w:hAnsi="FrankRuehl" w:cs="FrankRuehl"/>
        <w:noProof/>
        <w:sz w:val="24"/>
        <w:szCs w:val="24"/>
        <w:rtl/>
      </w:rPr>
      <w:t>2</w:t>
    </w:r>
    <w:r>
      <w:rPr>
        <w:rFonts w:hAnsi="FrankRuehl" w:cs="FrankRuehl"/>
        <w:sz w:val="24"/>
        <w:szCs w:val="24"/>
        <w:rtl/>
      </w:rPr>
      <w:fldChar w:fldCharType="end"/>
    </w:r>
  </w:p>
  <w:p w14:paraId="47AC5AE5" w14:textId="77777777" w:rsidR="00FB2F53" w:rsidRDefault="00FB2F5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A27E1FA" w14:textId="77777777" w:rsidR="00FB2F53" w:rsidRDefault="00FB2F5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71762" w14:textId="77777777" w:rsidR="00D41743" w:rsidRDefault="00D41743">
      <w:pPr>
        <w:spacing w:before="60" w:line="240" w:lineRule="auto"/>
        <w:ind w:right="1134"/>
      </w:pPr>
      <w:r>
        <w:separator/>
      </w:r>
    </w:p>
  </w:footnote>
  <w:footnote w:type="continuationSeparator" w:id="0">
    <w:p w14:paraId="1F317287" w14:textId="77777777" w:rsidR="00D41743" w:rsidRDefault="00D41743">
      <w:r>
        <w:continuationSeparator/>
      </w:r>
    </w:p>
  </w:footnote>
  <w:footnote w:id="1">
    <w:p w14:paraId="04E77A25" w14:textId="77777777" w:rsidR="00FB2F53" w:rsidRDefault="00FB2F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תשי"ז מס' 708</w:t>
        </w:r>
      </w:hyperlink>
      <w:r>
        <w:rPr>
          <w:rFonts w:hint="cs"/>
          <w:sz w:val="20"/>
          <w:rtl/>
        </w:rPr>
        <w:t xml:space="preserve"> מיום 27.6.1957 עמ' 1512.</w:t>
      </w:r>
    </w:p>
    <w:p w14:paraId="3F4580BC" w14:textId="77777777" w:rsidR="00FB2F53" w:rsidRDefault="00FB2F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504D0">
        <w:rPr>
          <w:sz w:val="20"/>
          <w:rtl/>
        </w:rPr>
        <w:t>ת</w:t>
      </w:r>
      <w:r w:rsidRPr="00E504D0">
        <w:rPr>
          <w:rFonts w:hint="cs"/>
          <w:sz w:val="20"/>
          <w:rtl/>
        </w:rPr>
        <w:t xml:space="preserve">וקנו </w:t>
      </w:r>
      <w:hyperlink r:id="rId2" w:history="1">
        <w:r w:rsidRPr="00E504D0">
          <w:rPr>
            <w:rStyle w:val="Hyperlink"/>
            <w:rFonts w:hint="cs"/>
            <w:sz w:val="20"/>
            <w:rtl/>
          </w:rPr>
          <w:t>ק"ת תשי"ט מס' 88</w:t>
        </w:r>
        <w:r w:rsidRPr="00E504D0">
          <w:rPr>
            <w:rStyle w:val="Hyperlink"/>
            <w:sz w:val="20"/>
            <w:rtl/>
          </w:rPr>
          <w:t>4</w:t>
        </w:r>
      </w:hyperlink>
      <w:r w:rsidRPr="00E504D0">
        <w:rPr>
          <w:sz w:val="20"/>
          <w:rtl/>
        </w:rPr>
        <w:t xml:space="preserve"> </w:t>
      </w:r>
      <w:r w:rsidRPr="00E504D0">
        <w:rPr>
          <w:rFonts w:hint="cs"/>
          <w:sz w:val="20"/>
          <w:rtl/>
        </w:rPr>
        <w:t>מיום 19.3.1959 עמ' 1039</w:t>
      </w:r>
      <w:r w:rsidR="00E504D0" w:rsidRPr="00E504D0">
        <w:rPr>
          <w:rFonts w:hint="cs"/>
          <w:sz w:val="20"/>
          <w:rtl/>
        </w:rPr>
        <w:t xml:space="preserve"> </w:t>
      </w:r>
      <w:r w:rsidR="00E504D0" w:rsidRPr="00E504D0">
        <w:rPr>
          <w:sz w:val="20"/>
          <w:rtl/>
        </w:rPr>
        <w:t>–</w:t>
      </w:r>
      <w:r w:rsidR="00E504D0" w:rsidRPr="00E504D0">
        <w:rPr>
          <w:rFonts w:hint="cs"/>
          <w:sz w:val="20"/>
          <w:rtl/>
        </w:rPr>
        <w:t xml:space="preserve"> תק' תשי"ט-1959</w:t>
      </w:r>
      <w:r w:rsidRPr="00E504D0">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7253C" w14:textId="77777777" w:rsidR="00FB2F53" w:rsidRDefault="00FB2F5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מילואים (תגמולים) (דינים וחשבונות ותשלומים לקרן ההשוואה), תשי"ז–1957</w:t>
    </w:r>
  </w:p>
  <w:p w14:paraId="222C73F2" w14:textId="77777777" w:rsidR="00FB2F53" w:rsidRDefault="00FB2F5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68DC37" w14:textId="77777777" w:rsidR="00FB2F53" w:rsidRDefault="00FB2F5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DDF" w14:textId="77777777" w:rsidR="00FB2F53" w:rsidRDefault="00FB2F5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שירות מילואים (תגמולים) (דינים וחשבונות ותשלומים לקרן ההשוואה), </w:t>
    </w:r>
    <w:r>
      <w:rPr>
        <w:rFonts w:hAnsi="FrankRuehl" w:cs="FrankRuehl" w:hint="cs"/>
        <w:color w:val="000000"/>
        <w:sz w:val="28"/>
        <w:szCs w:val="28"/>
        <w:rtl/>
      </w:rPr>
      <w:br/>
    </w:r>
    <w:r>
      <w:rPr>
        <w:rFonts w:hAnsi="FrankRuehl" w:cs="FrankRuehl"/>
        <w:color w:val="000000"/>
        <w:sz w:val="28"/>
        <w:szCs w:val="28"/>
        <w:rtl/>
      </w:rPr>
      <w:t>תשי"ז</w:t>
    </w:r>
    <w:r>
      <w:rPr>
        <w:rFonts w:hAnsi="FrankRuehl" w:cs="FrankRuehl" w:hint="cs"/>
        <w:color w:val="000000"/>
        <w:sz w:val="28"/>
        <w:szCs w:val="28"/>
        <w:rtl/>
      </w:rPr>
      <w:t>-</w:t>
    </w:r>
    <w:r>
      <w:rPr>
        <w:rFonts w:hAnsi="FrankRuehl" w:cs="FrankRuehl"/>
        <w:color w:val="000000"/>
        <w:sz w:val="28"/>
        <w:szCs w:val="28"/>
        <w:rtl/>
      </w:rPr>
      <w:t>1957</w:t>
    </w:r>
  </w:p>
  <w:p w14:paraId="0007C442" w14:textId="77777777" w:rsidR="00FB2F53" w:rsidRDefault="00FB2F5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00CF59" w14:textId="77777777" w:rsidR="00FB2F53" w:rsidRDefault="00FB2F5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04D0"/>
    <w:rsid w:val="003233B5"/>
    <w:rsid w:val="0034752D"/>
    <w:rsid w:val="009448B9"/>
    <w:rsid w:val="00D41743"/>
    <w:rsid w:val="00E504D0"/>
    <w:rsid w:val="00F3601D"/>
    <w:rsid w:val="00F854E9"/>
    <w:rsid w:val="00FB2F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F84BEEF"/>
  <w15:chartTrackingRefBased/>
  <w15:docId w15:val="{A1343A7F-8A2F-4705-AE51-B089FD37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884.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088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088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0884.pdf" TargetMode="External"/><Relationship Id="rId1" Type="http://schemas.openxmlformats.org/officeDocument/2006/relationships/hyperlink" Target="http://www.nevo.co.il/Law_word/law06/TAK-07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2833</CharactersWithSpaces>
  <SharedDoc>false</SharedDoc>
  <HLinks>
    <vt:vector size="72" baseType="variant">
      <vt:variant>
        <vt:i4>7405572</vt:i4>
      </vt:variant>
      <vt:variant>
        <vt:i4>48</vt:i4>
      </vt:variant>
      <vt:variant>
        <vt:i4>0</vt:i4>
      </vt:variant>
      <vt:variant>
        <vt:i4>5</vt:i4>
      </vt:variant>
      <vt:variant>
        <vt:lpwstr>http://www.nevo.co.il/Law_word/law06/TAK-0884.pdf</vt:lpwstr>
      </vt:variant>
      <vt:variant>
        <vt:lpwstr/>
      </vt:variant>
      <vt:variant>
        <vt:i4>7405572</vt:i4>
      </vt:variant>
      <vt:variant>
        <vt:i4>45</vt:i4>
      </vt:variant>
      <vt:variant>
        <vt:i4>0</vt:i4>
      </vt:variant>
      <vt:variant>
        <vt:i4>5</vt:i4>
      </vt:variant>
      <vt:variant>
        <vt:lpwstr>http://www.nevo.co.il/Law_word/law06/TAK-0884.pdf</vt:lpwstr>
      </vt:variant>
      <vt:variant>
        <vt:lpwstr/>
      </vt:variant>
      <vt:variant>
        <vt:i4>7405572</vt:i4>
      </vt:variant>
      <vt:variant>
        <vt:i4>42</vt:i4>
      </vt:variant>
      <vt:variant>
        <vt:i4>0</vt:i4>
      </vt:variant>
      <vt:variant>
        <vt:i4>5</vt:i4>
      </vt:variant>
      <vt:variant>
        <vt:lpwstr>http://www.nevo.co.il/Law_word/law06/TAK-0884.pdf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7405572</vt:i4>
      </vt:variant>
      <vt:variant>
        <vt:i4>3</vt:i4>
      </vt:variant>
      <vt:variant>
        <vt:i4>0</vt:i4>
      </vt:variant>
      <vt:variant>
        <vt:i4>5</vt:i4>
      </vt:variant>
      <vt:variant>
        <vt:lpwstr>http://www.nevo.co.il/Law_word/law06/TAK-0884.pdf</vt:lpwstr>
      </vt:variant>
      <vt:variant>
        <vt:lpwstr/>
      </vt:variant>
      <vt:variant>
        <vt:i4>7929863</vt:i4>
      </vt:variant>
      <vt:variant>
        <vt:i4>0</vt:i4>
      </vt:variant>
      <vt:variant>
        <vt:i4>0</vt:i4>
      </vt:variant>
      <vt:variant>
        <vt:i4>5</vt:i4>
      </vt:variant>
      <vt:variant>
        <vt:lpwstr>http://www.nevo.co.il/Law_word/law06/TAK-0708.pdf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מילואים (תגמולים) (דינים וחשבונות ותשלומים לקרן ההשוואה), תשי"ז-1957 - רבדים</vt:lpwstr>
  </property>
  <property fmtid="{D5CDD505-2E9C-101B-9397-08002B2CF9AE}" pid="5" name="LAWNUMBER">
    <vt:lpwstr>0052</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מילואים</vt:lpwstr>
  </property>
  <property fmtid="{D5CDD505-2E9C-101B-9397-08002B2CF9AE}" pid="10" name="NOSE41">
    <vt:lpwstr>תגמולים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מילואים (תגמולים)</vt:lpwstr>
  </property>
  <property fmtid="{D5CDD505-2E9C-101B-9397-08002B2CF9AE}" pid="48" name="MEKOR_SAIF1">
    <vt:lpwstr>11X;12X;28X</vt:lpwstr>
  </property>
</Properties>
</file>