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34D0" w:rsidRDefault="000134D0">
      <w:pPr>
        <w:pStyle w:val="big-header"/>
        <w:ind w:left="0" w:right="1134"/>
        <w:rPr>
          <w:rFonts w:cs="FrankRuehl" w:hint="cs"/>
          <w:sz w:val="32"/>
          <w:rtl/>
        </w:rPr>
      </w:pPr>
      <w:r>
        <w:rPr>
          <w:rFonts w:cs="FrankRuehl"/>
          <w:sz w:val="32"/>
          <w:rtl/>
        </w:rPr>
        <w:t>תקנות שירותי הכבאות (ציוד כיבוי בבתי ספר), תשל"ב–1972</w:t>
      </w:r>
    </w:p>
    <w:p w:rsidR="00C35E82" w:rsidRPr="00C35E82" w:rsidRDefault="00C35E82" w:rsidP="00C35E82">
      <w:pPr>
        <w:spacing w:line="320" w:lineRule="auto"/>
        <w:jc w:val="left"/>
        <w:rPr>
          <w:rFonts w:cs="FrankRuehl"/>
          <w:szCs w:val="26"/>
          <w:rtl/>
        </w:rPr>
      </w:pPr>
    </w:p>
    <w:p w:rsidR="00C35E82" w:rsidRDefault="00C35E82" w:rsidP="00C35E82">
      <w:pPr>
        <w:spacing w:line="320" w:lineRule="auto"/>
        <w:jc w:val="left"/>
        <w:rPr>
          <w:rtl/>
        </w:rPr>
      </w:pPr>
    </w:p>
    <w:p w:rsidR="00C35E82" w:rsidRDefault="00C35E82" w:rsidP="00C35E82">
      <w:pPr>
        <w:spacing w:line="320" w:lineRule="auto"/>
        <w:jc w:val="left"/>
        <w:rPr>
          <w:rFonts w:cs="FrankRuehl"/>
          <w:szCs w:val="26"/>
          <w:rtl/>
        </w:rPr>
      </w:pPr>
      <w:r w:rsidRPr="00C35E82">
        <w:rPr>
          <w:rFonts w:cs="Miriam"/>
          <w:szCs w:val="22"/>
          <w:rtl/>
        </w:rPr>
        <w:t>בטחון</w:t>
      </w:r>
      <w:r w:rsidRPr="00C35E82">
        <w:rPr>
          <w:rFonts w:cs="FrankRuehl"/>
          <w:szCs w:val="26"/>
          <w:rtl/>
        </w:rPr>
        <w:t xml:space="preserve"> – כבאות – ציוד כיבוי</w:t>
      </w:r>
    </w:p>
    <w:p w:rsidR="002505E3" w:rsidRPr="00C35E82" w:rsidRDefault="00C35E82" w:rsidP="00C35E82">
      <w:pPr>
        <w:spacing w:line="320" w:lineRule="auto"/>
        <w:jc w:val="left"/>
        <w:rPr>
          <w:rFonts w:cs="Miriam"/>
          <w:szCs w:val="22"/>
          <w:rtl/>
        </w:rPr>
      </w:pPr>
      <w:r w:rsidRPr="00C35E82">
        <w:rPr>
          <w:rFonts w:cs="Miriam"/>
          <w:szCs w:val="22"/>
          <w:rtl/>
        </w:rPr>
        <w:t>רשויות ומשפט מנהלי</w:t>
      </w:r>
      <w:r w:rsidRPr="00C35E82">
        <w:rPr>
          <w:rFonts w:cs="FrankRuehl"/>
          <w:szCs w:val="26"/>
          <w:rtl/>
        </w:rPr>
        <w:t xml:space="preserve"> – חינוך – בתי ספר</w:t>
      </w:r>
    </w:p>
    <w:p w:rsidR="000134D0" w:rsidRDefault="000134D0">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134D0">
        <w:tblPrEx>
          <w:tblCellMar>
            <w:top w:w="0" w:type="dxa"/>
            <w:bottom w:w="0" w:type="dxa"/>
          </w:tblCellMar>
        </w:tblPrEx>
        <w:tc>
          <w:tcPr>
            <w:tcW w:w="850" w:type="dxa"/>
          </w:tcPr>
          <w:p w:rsidR="000134D0" w:rsidRDefault="000134D0">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134D0" w:rsidRDefault="000134D0">
            <w:pPr>
              <w:spacing w:line="240" w:lineRule="auto"/>
              <w:rPr>
                <w:sz w:val="24"/>
              </w:rPr>
            </w:pPr>
            <w:hyperlink w:anchor="med0" w:tooltip="תוספת" w:history="1">
              <w:r>
                <w:rPr>
                  <w:rStyle w:val="Hyperlink"/>
                </w:rPr>
                <w:t>Go</w:t>
              </w:r>
            </w:hyperlink>
          </w:p>
        </w:tc>
        <w:tc>
          <w:tcPr>
            <w:tcW w:w="5669" w:type="dxa"/>
          </w:tcPr>
          <w:p w:rsidR="000134D0" w:rsidRDefault="000134D0">
            <w:pPr>
              <w:spacing w:line="240" w:lineRule="auto"/>
              <w:rPr>
                <w:sz w:val="24"/>
              </w:rPr>
            </w:pPr>
            <w:r>
              <w:rPr>
                <w:sz w:val="24"/>
                <w:rtl/>
              </w:rPr>
              <w:t>תוספת</w:t>
            </w:r>
          </w:p>
        </w:tc>
        <w:tc>
          <w:tcPr>
            <w:tcW w:w="1247" w:type="dxa"/>
          </w:tcPr>
          <w:p w:rsidR="000134D0" w:rsidRDefault="000134D0">
            <w:pPr>
              <w:spacing w:line="240" w:lineRule="auto"/>
              <w:rPr>
                <w:sz w:val="24"/>
              </w:rPr>
            </w:pPr>
          </w:p>
        </w:tc>
      </w:tr>
      <w:tr w:rsidR="000134D0">
        <w:tblPrEx>
          <w:tblCellMar>
            <w:top w:w="0" w:type="dxa"/>
            <w:bottom w:w="0" w:type="dxa"/>
          </w:tblCellMar>
        </w:tblPrEx>
        <w:tc>
          <w:tcPr>
            <w:tcW w:w="850" w:type="dxa"/>
          </w:tcPr>
          <w:p w:rsidR="000134D0" w:rsidRDefault="000134D0">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134D0" w:rsidRDefault="000134D0">
            <w:pPr>
              <w:spacing w:line="240" w:lineRule="auto"/>
              <w:rPr>
                <w:sz w:val="24"/>
              </w:rPr>
            </w:pPr>
            <w:hyperlink w:anchor="Seif0" w:tooltip="הספקת מים" w:history="1">
              <w:r>
                <w:rPr>
                  <w:rStyle w:val="Hyperlink"/>
                </w:rPr>
                <w:t>Go</w:t>
              </w:r>
            </w:hyperlink>
          </w:p>
        </w:tc>
        <w:tc>
          <w:tcPr>
            <w:tcW w:w="5669" w:type="dxa"/>
          </w:tcPr>
          <w:p w:rsidR="000134D0" w:rsidRDefault="000134D0">
            <w:pPr>
              <w:spacing w:line="240" w:lineRule="auto"/>
              <w:rPr>
                <w:sz w:val="24"/>
                <w:rtl/>
              </w:rPr>
            </w:pPr>
            <w:r>
              <w:rPr>
                <w:sz w:val="24"/>
                <w:rtl/>
              </w:rPr>
              <w:t>הספקת מים</w:t>
            </w:r>
          </w:p>
        </w:tc>
        <w:tc>
          <w:tcPr>
            <w:tcW w:w="1247" w:type="dxa"/>
          </w:tcPr>
          <w:p w:rsidR="000134D0" w:rsidRDefault="000134D0">
            <w:pPr>
              <w:spacing w:line="240" w:lineRule="auto"/>
              <w:rPr>
                <w:sz w:val="24"/>
              </w:rPr>
            </w:pPr>
            <w:r>
              <w:rPr>
                <w:sz w:val="24"/>
                <w:rtl/>
              </w:rPr>
              <w:t xml:space="preserve">סעיף 2 </w:t>
            </w:r>
          </w:p>
        </w:tc>
      </w:tr>
      <w:tr w:rsidR="000134D0">
        <w:tblPrEx>
          <w:tblCellMar>
            <w:top w:w="0" w:type="dxa"/>
            <w:bottom w:w="0" w:type="dxa"/>
          </w:tblCellMar>
        </w:tblPrEx>
        <w:tc>
          <w:tcPr>
            <w:tcW w:w="850" w:type="dxa"/>
          </w:tcPr>
          <w:p w:rsidR="000134D0" w:rsidRDefault="000134D0">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134D0" w:rsidRDefault="000134D0">
            <w:pPr>
              <w:spacing w:line="240" w:lineRule="auto"/>
              <w:rPr>
                <w:sz w:val="24"/>
              </w:rPr>
            </w:pPr>
            <w:hyperlink w:anchor="Seif1" w:tooltip="זרנוק כיבוי ומזנקי כיבוי" w:history="1">
              <w:r>
                <w:rPr>
                  <w:rStyle w:val="Hyperlink"/>
                </w:rPr>
                <w:t>Go</w:t>
              </w:r>
            </w:hyperlink>
          </w:p>
        </w:tc>
        <w:tc>
          <w:tcPr>
            <w:tcW w:w="5669" w:type="dxa"/>
          </w:tcPr>
          <w:p w:rsidR="000134D0" w:rsidRDefault="000134D0">
            <w:pPr>
              <w:spacing w:line="240" w:lineRule="auto"/>
              <w:rPr>
                <w:sz w:val="24"/>
                <w:rtl/>
              </w:rPr>
            </w:pPr>
            <w:r>
              <w:rPr>
                <w:sz w:val="24"/>
                <w:rtl/>
              </w:rPr>
              <w:t>זרנוק כיבוי ומזנקי כיבוי</w:t>
            </w:r>
          </w:p>
        </w:tc>
        <w:tc>
          <w:tcPr>
            <w:tcW w:w="1247" w:type="dxa"/>
          </w:tcPr>
          <w:p w:rsidR="000134D0" w:rsidRDefault="000134D0">
            <w:pPr>
              <w:spacing w:line="240" w:lineRule="auto"/>
              <w:rPr>
                <w:sz w:val="24"/>
              </w:rPr>
            </w:pPr>
            <w:r>
              <w:rPr>
                <w:sz w:val="24"/>
                <w:rtl/>
              </w:rPr>
              <w:t xml:space="preserve">סעיף 3 </w:t>
            </w:r>
          </w:p>
        </w:tc>
      </w:tr>
      <w:tr w:rsidR="000134D0">
        <w:tblPrEx>
          <w:tblCellMar>
            <w:top w:w="0" w:type="dxa"/>
            <w:bottom w:w="0" w:type="dxa"/>
          </w:tblCellMar>
        </w:tblPrEx>
        <w:tc>
          <w:tcPr>
            <w:tcW w:w="850" w:type="dxa"/>
          </w:tcPr>
          <w:p w:rsidR="000134D0" w:rsidRDefault="000134D0">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134D0" w:rsidRDefault="000134D0">
            <w:pPr>
              <w:spacing w:line="240" w:lineRule="auto"/>
              <w:rPr>
                <w:sz w:val="24"/>
              </w:rPr>
            </w:pPr>
            <w:hyperlink w:anchor="Seif2" w:tooltip="גלגילוני כיבוי מסתובבים עם מזנק" w:history="1">
              <w:r>
                <w:rPr>
                  <w:rStyle w:val="Hyperlink"/>
                </w:rPr>
                <w:t>Go</w:t>
              </w:r>
            </w:hyperlink>
          </w:p>
        </w:tc>
        <w:tc>
          <w:tcPr>
            <w:tcW w:w="5669" w:type="dxa"/>
          </w:tcPr>
          <w:p w:rsidR="000134D0" w:rsidRDefault="000134D0">
            <w:pPr>
              <w:spacing w:line="240" w:lineRule="auto"/>
              <w:rPr>
                <w:sz w:val="24"/>
                <w:rtl/>
              </w:rPr>
            </w:pPr>
            <w:r>
              <w:rPr>
                <w:sz w:val="24"/>
                <w:rtl/>
              </w:rPr>
              <w:t>גלגילוני כיבוי מסתובבים עם מזנק</w:t>
            </w:r>
          </w:p>
        </w:tc>
        <w:tc>
          <w:tcPr>
            <w:tcW w:w="1247" w:type="dxa"/>
          </w:tcPr>
          <w:p w:rsidR="000134D0" w:rsidRDefault="000134D0">
            <w:pPr>
              <w:spacing w:line="240" w:lineRule="auto"/>
              <w:rPr>
                <w:sz w:val="24"/>
              </w:rPr>
            </w:pPr>
            <w:r>
              <w:rPr>
                <w:sz w:val="24"/>
                <w:rtl/>
              </w:rPr>
              <w:t xml:space="preserve">סעיף 4 </w:t>
            </w:r>
          </w:p>
        </w:tc>
      </w:tr>
      <w:tr w:rsidR="000134D0">
        <w:tblPrEx>
          <w:tblCellMar>
            <w:top w:w="0" w:type="dxa"/>
            <w:bottom w:w="0" w:type="dxa"/>
          </w:tblCellMar>
        </w:tblPrEx>
        <w:tc>
          <w:tcPr>
            <w:tcW w:w="850" w:type="dxa"/>
          </w:tcPr>
          <w:p w:rsidR="000134D0" w:rsidRDefault="000134D0">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134D0" w:rsidRDefault="000134D0">
            <w:pPr>
              <w:spacing w:line="240" w:lineRule="auto"/>
              <w:rPr>
                <w:sz w:val="24"/>
              </w:rPr>
            </w:pPr>
            <w:hyperlink w:anchor="Seif3" w:tooltip="מטפי כיבוי" w:history="1">
              <w:r>
                <w:rPr>
                  <w:rStyle w:val="Hyperlink"/>
                </w:rPr>
                <w:t>Go</w:t>
              </w:r>
            </w:hyperlink>
          </w:p>
        </w:tc>
        <w:tc>
          <w:tcPr>
            <w:tcW w:w="5669" w:type="dxa"/>
          </w:tcPr>
          <w:p w:rsidR="000134D0" w:rsidRDefault="000134D0">
            <w:pPr>
              <w:spacing w:line="240" w:lineRule="auto"/>
              <w:rPr>
                <w:sz w:val="24"/>
                <w:rtl/>
              </w:rPr>
            </w:pPr>
            <w:r>
              <w:rPr>
                <w:sz w:val="24"/>
                <w:rtl/>
              </w:rPr>
              <w:t>מטפי כיבוי</w:t>
            </w:r>
          </w:p>
        </w:tc>
        <w:tc>
          <w:tcPr>
            <w:tcW w:w="1247" w:type="dxa"/>
          </w:tcPr>
          <w:p w:rsidR="000134D0" w:rsidRDefault="000134D0">
            <w:pPr>
              <w:spacing w:line="240" w:lineRule="auto"/>
              <w:rPr>
                <w:sz w:val="24"/>
              </w:rPr>
            </w:pPr>
            <w:r>
              <w:rPr>
                <w:sz w:val="24"/>
                <w:rtl/>
              </w:rPr>
              <w:t xml:space="preserve">סעיף 5 </w:t>
            </w:r>
          </w:p>
        </w:tc>
      </w:tr>
    </w:tbl>
    <w:p w:rsidR="000134D0" w:rsidRDefault="000134D0">
      <w:pPr>
        <w:pStyle w:val="big-header"/>
        <w:ind w:left="0" w:right="1134"/>
        <w:rPr>
          <w:rFonts w:cs="FrankRuehl"/>
          <w:sz w:val="32"/>
          <w:rtl/>
        </w:rPr>
      </w:pPr>
    </w:p>
    <w:p w:rsidR="00260DBF" w:rsidRDefault="00260DBF" w:rsidP="007B14FC">
      <w:pPr>
        <w:pStyle w:val="big-header"/>
        <w:ind w:left="0" w:right="1134"/>
        <w:rPr>
          <w:rFonts w:cs="FrankRuehl" w:hint="cs"/>
          <w:sz w:val="32"/>
          <w:rtl/>
        </w:rPr>
      </w:pPr>
    </w:p>
    <w:p w:rsidR="00260DBF" w:rsidRDefault="00260DBF" w:rsidP="007B14FC">
      <w:pPr>
        <w:pStyle w:val="big-header"/>
        <w:ind w:left="0" w:right="1134"/>
        <w:rPr>
          <w:rFonts w:cs="FrankRuehl" w:hint="cs"/>
          <w:sz w:val="32"/>
          <w:rtl/>
        </w:rPr>
      </w:pPr>
    </w:p>
    <w:p w:rsidR="000134D0" w:rsidRPr="007B14FC" w:rsidRDefault="000134D0" w:rsidP="00260DBF">
      <w:pPr>
        <w:pStyle w:val="big-header"/>
        <w:ind w:left="0" w:right="1134"/>
        <w:rPr>
          <w:rStyle w:val="default"/>
          <w:rFonts w:cs="FrankRuehl"/>
          <w:sz w:val="32"/>
          <w:szCs w:val="32"/>
          <w:rtl/>
        </w:rPr>
      </w:pPr>
      <w:r>
        <w:rPr>
          <w:rFonts w:cs="FrankRuehl"/>
          <w:sz w:val="32"/>
          <w:rtl/>
        </w:rPr>
        <w:br w:type="page"/>
      </w:r>
      <w:r w:rsidR="00260DBF">
        <w:rPr>
          <w:rFonts w:cs="FrankRuehl"/>
          <w:sz w:val="32"/>
          <w:rtl/>
        </w:rPr>
        <w:lastRenderedPageBreak/>
        <w:t>תקנות שירותי הכבאות (ציוד כיבוי בבתי ספר), תשל"ב–1972</w:t>
      </w:r>
      <w:r w:rsidR="00260DBF">
        <w:rPr>
          <w:rStyle w:val="super"/>
          <w:rFonts w:cs="Miriam"/>
          <w:noProof w:val="0"/>
          <w:rtl/>
          <w:lang w:eastAsia="he-IL"/>
        </w:rPr>
        <w:t>(</w:t>
      </w:r>
      <w:r w:rsidR="00260DBF">
        <w:rPr>
          <w:rStyle w:val="super"/>
          <w:rFonts w:cs="Miriam" w:hint="cs"/>
          <w:noProof w:val="0"/>
          <w:rtl/>
          <w:lang w:eastAsia="he-IL"/>
        </w:rPr>
        <w:t>14</w:t>
      </w:r>
      <w:r w:rsidR="00260DBF">
        <w:rPr>
          <w:rStyle w:val="super"/>
          <w:rFonts w:cs="Miriam"/>
          <w:noProof w:val="0"/>
          <w:rtl/>
          <w:lang w:eastAsia="he-IL"/>
        </w:rPr>
        <w:t>)</w:t>
      </w:r>
    </w:p>
    <w:p w:rsidR="000134D0" w:rsidRDefault="000134D0">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6 לחוק שירותי הכבאות, תשי"ט</w:t>
      </w:r>
      <w:r>
        <w:rPr>
          <w:rStyle w:val="default"/>
          <w:rFonts w:cs="FrankRuehl"/>
          <w:rtl/>
        </w:rPr>
        <w:t xml:space="preserve">–1959, </w:t>
      </w:r>
      <w:r>
        <w:rPr>
          <w:rStyle w:val="default"/>
          <w:rFonts w:cs="FrankRuehl" w:hint="cs"/>
          <w:rtl/>
        </w:rPr>
        <w:t>ולאחר התייעצות עם שר החקלאות, אני מתקין תקנות אלה:</w:t>
      </w:r>
    </w:p>
    <w:p w:rsidR="000134D0" w:rsidRDefault="000134D0">
      <w:pPr>
        <w:pStyle w:val="P00"/>
        <w:spacing w:before="72"/>
        <w:ind w:left="0" w:right="1134"/>
        <w:rPr>
          <w:rStyle w:val="default"/>
          <w:rFonts w:cs="FrankRuehl"/>
          <w:rtl/>
        </w:rPr>
      </w:pP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rsidR="000134D0" w:rsidRDefault="000134D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ית ספר"</w:t>
      </w:r>
      <w:r>
        <w:rPr>
          <w:rStyle w:val="default"/>
          <w:rFonts w:cs="FrankRuehl"/>
          <w:rtl/>
        </w:rPr>
        <w:t>–ב</w:t>
      </w:r>
      <w:r>
        <w:rPr>
          <w:rStyle w:val="default"/>
          <w:rFonts w:cs="FrankRuehl" w:hint="cs"/>
          <w:rtl/>
        </w:rPr>
        <w:t>נין המשמש לגן ילדים, ל</w:t>
      </w:r>
      <w:r>
        <w:rPr>
          <w:rStyle w:val="default"/>
          <w:rFonts w:cs="FrankRuehl"/>
          <w:rtl/>
        </w:rPr>
        <w:t>ב</w:t>
      </w:r>
      <w:r>
        <w:rPr>
          <w:rStyle w:val="default"/>
          <w:rFonts w:cs="FrankRuehl" w:hint="cs"/>
          <w:rtl/>
        </w:rPr>
        <w:t>ית ספר עממי, לבית ספר תי</w:t>
      </w:r>
      <w:r>
        <w:rPr>
          <w:rStyle w:val="default"/>
          <w:rFonts w:cs="FrankRuehl"/>
          <w:rtl/>
        </w:rPr>
        <w:t>כו</w:t>
      </w:r>
      <w:r>
        <w:rPr>
          <w:rStyle w:val="default"/>
          <w:rFonts w:cs="FrankRuehl" w:hint="cs"/>
          <w:rtl/>
        </w:rPr>
        <w:t>ן, לבית ספר מקצועי, לבית ספר חקלאי, לבית ספר למבוגרים או להוראה במוסד להשכלה גבוהה מוכר לפי סעיף 9 לחוק המועצה להשכלה גבוהה, תשי"ח</w:t>
      </w:r>
      <w:r>
        <w:rPr>
          <w:rStyle w:val="default"/>
          <w:rFonts w:cs="FrankRuehl"/>
          <w:rtl/>
        </w:rPr>
        <w:t>–1958;</w:t>
      </w:r>
    </w:p>
    <w:p w:rsidR="000134D0" w:rsidRDefault="000134D0">
      <w:pPr>
        <w:pStyle w:val="P00"/>
        <w:spacing w:before="72"/>
        <w:ind w:left="0" w:right="1134"/>
        <w:rPr>
          <w:rStyle w:val="default"/>
          <w:rFonts w:cs="FrankRuehl"/>
          <w:rtl/>
        </w:rPr>
      </w:pPr>
      <w:r>
        <w:rPr>
          <w:rFonts w:cs="FrankRuehl"/>
          <w:sz w:val="26"/>
          <w:rtl/>
        </w:rPr>
        <w:tab/>
      </w:r>
      <w:r>
        <w:rPr>
          <w:rStyle w:val="default"/>
          <w:rFonts w:cs="FrankRuehl"/>
          <w:rtl/>
        </w:rPr>
        <w:t>"צ</w:t>
      </w:r>
      <w:r>
        <w:rPr>
          <w:rStyle w:val="default"/>
          <w:rFonts w:cs="FrankRuehl" w:hint="cs"/>
          <w:rtl/>
        </w:rPr>
        <w:t xml:space="preserve">יוד כיבוי" </w:t>
      </w:r>
      <w:r>
        <w:rPr>
          <w:rStyle w:val="default"/>
          <w:rFonts w:cs="FrankRuehl"/>
          <w:rtl/>
        </w:rPr>
        <w:t xml:space="preserve">— </w:t>
      </w:r>
      <w:r>
        <w:rPr>
          <w:rStyle w:val="default"/>
          <w:rFonts w:cs="FrankRuehl" w:hint="cs"/>
          <w:rtl/>
        </w:rPr>
        <w:t>ציוד, חמרים ומיתקנים המשמשים לכיבוי דליקות, לפי המפורט בתוספת ולפי תקן ישראל</w:t>
      </w:r>
      <w:r>
        <w:rPr>
          <w:rStyle w:val="default"/>
          <w:rFonts w:cs="FrankRuehl"/>
          <w:rtl/>
        </w:rPr>
        <w:t>י</w:t>
      </w:r>
      <w:r>
        <w:rPr>
          <w:rStyle w:val="default"/>
          <w:rFonts w:cs="FrankRuehl" w:hint="cs"/>
          <w:rtl/>
        </w:rPr>
        <w:t xml:space="preserve"> שאושר על ידי מכון התקני</w:t>
      </w:r>
      <w:r>
        <w:rPr>
          <w:rStyle w:val="default"/>
          <w:rFonts w:cs="FrankRuehl"/>
          <w:rtl/>
        </w:rPr>
        <w:t xml:space="preserve">ם, </w:t>
      </w:r>
      <w:r>
        <w:rPr>
          <w:rStyle w:val="default"/>
          <w:rFonts w:cs="FrankRuehl" w:hint="cs"/>
          <w:rtl/>
        </w:rPr>
        <w:t xml:space="preserve">ובאין תקן ישראלי מאושר </w:t>
      </w:r>
      <w:r>
        <w:rPr>
          <w:rStyle w:val="default"/>
          <w:rFonts w:cs="FrankRuehl"/>
          <w:rtl/>
        </w:rPr>
        <w:t xml:space="preserve">— </w:t>
      </w:r>
      <w:r>
        <w:rPr>
          <w:rStyle w:val="default"/>
          <w:rFonts w:cs="FrankRuehl" w:hint="cs"/>
          <w:rtl/>
        </w:rPr>
        <w:t>לפי אישור מפקח כבאות ראשי כמשמעותו בסעיף 22 לחוק שירותי הכבאות, תשי"ט</w:t>
      </w:r>
      <w:r>
        <w:rPr>
          <w:rStyle w:val="default"/>
          <w:rFonts w:cs="FrankRuehl"/>
          <w:rtl/>
        </w:rPr>
        <w:t>–1959;</w:t>
      </w:r>
    </w:p>
    <w:p w:rsidR="000134D0" w:rsidRDefault="000134D0">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שות כבאות" </w:t>
      </w:r>
      <w:r>
        <w:rPr>
          <w:rStyle w:val="default"/>
          <w:rFonts w:cs="FrankRuehl"/>
          <w:rtl/>
        </w:rPr>
        <w:t xml:space="preserve">— </w:t>
      </w:r>
      <w:r>
        <w:rPr>
          <w:rStyle w:val="default"/>
          <w:rFonts w:cs="FrankRuehl" w:hint="cs"/>
          <w:rtl/>
        </w:rPr>
        <w:t>כמשמעותו בסעיף 1 לחוק שירותי הכבאות,</w:t>
      </w:r>
      <w:r>
        <w:rPr>
          <w:rFonts w:cs="FrankRuehl"/>
          <w:sz w:val="26"/>
          <w:rtl/>
        </w:rPr>
        <w:t> </w:t>
      </w:r>
      <w:r>
        <w:rPr>
          <w:rStyle w:val="default"/>
          <w:rFonts w:cs="FrankRuehl"/>
          <w:rtl/>
        </w:rPr>
        <w:t xml:space="preserve"> ת</w:t>
      </w:r>
      <w:r>
        <w:rPr>
          <w:rStyle w:val="default"/>
          <w:rFonts w:cs="FrankRuehl" w:hint="cs"/>
          <w:rtl/>
        </w:rPr>
        <w:t>שי"ט</w:t>
      </w:r>
      <w:r>
        <w:rPr>
          <w:rStyle w:val="default"/>
          <w:rFonts w:cs="FrankRuehl"/>
          <w:rtl/>
        </w:rPr>
        <w:t xml:space="preserve">–1959, </w:t>
      </w:r>
      <w:r>
        <w:rPr>
          <w:rStyle w:val="default"/>
          <w:rFonts w:cs="FrankRuehl" w:hint="cs"/>
          <w:rtl/>
        </w:rPr>
        <w:t>ואשר בית הספר נמצא בתחומה.</w:t>
      </w:r>
    </w:p>
    <w:p w:rsidR="000134D0" w:rsidRDefault="000134D0">
      <w:pPr>
        <w:pStyle w:val="P00"/>
        <w:spacing w:before="72"/>
        <w:ind w:left="0" w:right="1134"/>
        <w:rPr>
          <w:rStyle w:val="default"/>
          <w:rFonts w:cs="FrankRuehl"/>
          <w:rtl/>
        </w:rPr>
      </w:pPr>
      <w:r>
        <w:rPr>
          <w:rStyle w:val="big-number"/>
          <w:rFonts w:cs="Miriam"/>
          <w:rtl/>
        </w:rPr>
        <w:t>2.</w:t>
      </w:r>
      <w:r>
        <w:rPr>
          <w:rStyle w:val="big-number"/>
          <w:rFonts w:cs="Miriam"/>
          <w:rtl/>
        </w:rPr>
        <w:tab/>
      </w:r>
      <w:r>
        <w:rPr>
          <w:rStyle w:val="default"/>
          <w:rFonts w:cs="FrankRuehl"/>
          <w:rtl/>
        </w:rPr>
        <w:t>בכ</w:t>
      </w:r>
      <w:r>
        <w:rPr>
          <w:rStyle w:val="default"/>
          <w:rFonts w:cs="FrankRuehl" w:hint="cs"/>
          <w:rtl/>
        </w:rPr>
        <w:t>ל בית ספר חייבים הבעל או המחזיק לרכוש או להשיג ציוד כיבוי, להתקינו ולהחזיקו במצב תקין לפי הוראות רשות הכבאות.</w:t>
      </w:r>
    </w:p>
    <w:p w:rsidR="000134D0" w:rsidRDefault="000134D0">
      <w:pPr>
        <w:pStyle w:val="P00"/>
        <w:spacing w:before="72"/>
        <w:ind w:left="0" w:right="1134"/>
        <w:rPr>
          <w:rStyle w:val="default"/>
          <w:rFonts w:cs="FrankRuehl"/>
          <w:rtl/>
        </w:rPr>
      </w:pP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שות כבאות רשאית, לפי שיקול דעתה, וחייבת לפי הוראת המפקח, להו</w:t>
      </w:r>
      <w:r>
        <w:rPr>
          <w:rStyle w:val="default"/>
          <w:rFonts w:cs="FrankRuehl"/>
          <w:rtl/>
        </w:rPr>
        <w:t>ר</w:t>
      </w:r>
      <w:r>
        <w:rPr>
          <w:rStyle w:val="default"/>
          <w:rFonts w:cs="FrankRuehl" w:hint="cs"/>
          <w:rtl/>
        </w:rPr>
        <w:t>ות בכתב לבעל או למחזיק של</w:t>
      </w:r>
      <w:r>
        <w:rPr>
          <w:rStyle w:val="default"/>
          <w:rFonts w:cs="FrankRuehl"/>
          <w:rtl/>
        </w:rPr>
        <w:t xml:space="preserve"> ב</w:t>
      </w:r>
      <w:r>
        <w:rPr>
          <w:rStyle w:val="default"/>
          <w:rFonts w:cs="FrankRuehl" w:hint="cs"/>
          <w:rtl/>
        </w:rPr>
        <w:t>ית ספר להוסיף ציוד כיבוי על האמור בתוספת.</w:t>
      </w:r>
    </w:p>
    <w:p w:rsidR="000134D0" w:rsidRDefault="000134D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מפקח, בהתייעצות עם המועצה למניעת שריפות, רשאי להורות לרשות כבאות לדרוש להוסיף ציוד כיבוי על האמור בתוספת.</w:t>
      </w:r>
    </w:p>
    <w:p w:rsidR="000134D0" w:rsidRDefault="000134D0">
      <w:pPr>
        <w:pStyle w:val="P00"/>
        <w:spacing w:before="72"/>
        <w:ind w:left="0" w:right="1134"/>
        <w:rPr>
          <w:rStyle w:val="default"/>
          <w:rFonts w:cs="FrankRuehl"/>
          <w:rtl/>
        </w:rPr>
      </w:pPr>
      <w:r>
        <w:rPr>
          <w:rStyle w:val="big-number"/>
          <w:rFonts w:cs="Miriam"/>
          <w:rtl/>
        </w:rPr>
        <w:t>4.</w:t>
      </w:r>
      <w:r>
        <w:rPr>
          <w:rStyle w:val="big-number"/>
          <w:rFonts w:cs="Miriam"/>
          <w:rtl/>
        </w:rPr>
        <w:tab/>
      </w:r>
      <w:r>
        <w:rPr>
          <w:rStyle w:val="default"/>
          <w:rFonts w:cs="FrankRuehl"/>
          <w:rtl/>
        </w:rPr>
        <w:t>מי</w:t>
      </w:r>
      <w:r>
        <w:rPr>
          <w:rStyle w:val="default"/>
          <w:rFonts w:cs="FrankRuehl" w:hint="cs"/>
          <w:rtl/>
        </w:rPr>
        <w:t>לא אחד מהחייבים אחר הוראות תקנות 2 או 3, פטורים האחרים מהחובה כאמור.</w:t>
      </w:r>
    </w:p>
    <w:p w:rsidR="000134D0" w:rsidRDefault="000134D0">
      <w:pPr>
        <w:pStyle w:val="P00"/>
        <w:spacing w:before="72"/>
        <w:ind w:left="0" w:right="1134"/>
        <w:rPr>
          <w:rStyle w:val="default"/>
          <w:rFonts w:cs="FrankRuehl"/>
          <w:rtl/>
        </w:rPr>
      </w:pPr>
      <w:r>
        <w:rPr>
          <w:rStyle w:val="big-number"/>
          <w:rFonts w:cs="Miriam"/>
          <w:rtl/>
        </w:rPr>
        <w:t>5.</w:t>
      </w:r>
      <w:r>
        <w:rPr>
          <w:rStyle w:val="big-number"/>
          <w:rFonts w:cs="Miriam"/>
          <w:rtl/>
        </w:rPr>
        <w:tab/>
      </w:r>
      <w:r>
        <w:rPr>
          <w:rStyle w:val="default"/>
          <w:rFonts w:cs="FrankRuehl"/>
          <w:rtl/>
        </w:rPr>
        <w:t>תק</w:t>
      </w:r>
      <w:r>
        <w:rPr>
          <w:rStyle w:val="default"/>
          <w:rFonts w:cs="FrankRuehl" w:hint="cs"/>
          <w:rtl/>
        </w:rPr>
        <w:t>נות שירותי הכבאות (צי</w:t>
      </w:r>
      <w:r>
        <w:rPr>
          <w:rStyle w:val="default"/>
          <w:rFonts w:cs="FrankRuehl"/>
          <w:rtl/>
        </w:rPr>
        <w:t>וד</w:t>
      </w:r>
      <w:r>
        <w:rPr>
          <w:rStyle w:val="default"/>
          <w:rFonts w:cs="FrankRuehl" w:hint="cs"/>
          <w:rtl/>
        </w:rPr>
        <w:t xml:space="preserve"> כיבוי בבתי ספר), תש"ל</w:t>
      </w:r>
      <w:r>
        <w:rPr>
          <w:rStyle w:val="default"/>
          <w:rFonts w:cs="FrankRuehl"/>
          <w:rtl/>
        </w:rPr>
        <w:t xml:space="preserve">–1969 — </w:t>
      </w:r>
      <w:r>
        <w:rPr>
          <w:rStyle w:val="default"/>
          <w:rFonts w:cs="FrankRuehl" w:hint="cs"/>
          <w:rtl/>
        </w:rPr>
        <w:t>בטלות.</w:t>
      </w:r>
    </w:p>
    <w:p w:rsidR="000134D0" w:rsidRDefault="000134D0">
      <w:pPr>
        <w:pStyle w:val="P00"/>
        <w:spacing w:before="72"/>
        <w:ind w:left="0" w:right="1134"/>
        <w:rPr>
          <w:rStyle w:val="default"/>
          <w:rFonts w:cs="FrankRuehl" w:hint="cs"/>
          <w:rtl/>
        </w:rPr>
      </w:pPr>
      <w:r>
        <w:rPr>
          <w:rStyle w:val="big-number"/>
          <w:rFonts w:cs="Miriam"/>
          <w:rtl/>
        </w:rPr>
        <w:t>6.</w:t>
      </w:r>
      <w:r>
        <w:rPr>
          <w:rStyle w:val="big-number"/>
          <w:rFonts w:cs="Miriam"/>
          <w:rtl/>
        </w:rPr>
        <w:tab/>
      </w:r>
      <w:r>
        <w:rPr>
          <w:rStyle w:val="default"/>
          <w:rFonts w:cs="FrankRuehl"/>
          <w:rtl/>
        </w:rPr>
        <w:t>לת</w:t>
      </w:r>
      <w:r>
        <w:rPr>
          <w:rStyle w:val="default"/>
          <w:rFonts w:cs="FrankRuehl" w:hint="cs"/>
          <w:rtl/>
        </w:rPr>
        <w:t>קנות אלה ייקרא "תקנות שירותי הכבאות (ציוד כיבוי בבתי ספר), תשל"ב</w:t>
      </w:r>
      <w:r>
        <w:rPr>
          <w:rStyle w:val="default"/>
          <w:rFonts w:cs="FrankRuehl"/>
          <w:rtl/>
        </w:rPr>
        <w:t>–1972".</w:t>
      </w:r>
    </w:p>
    <w:p w:rsidR="007B14FC" w:rsidRDefault="007B14FC" w:rsidP="007B14FC">
      <w:pPr>
        <w:pStyle w:val="P00"/>
        <w:spacing w:before="72"/>
        <w:ind w:left="0" w:right="1134"/>
        <w:rPr>
          <w:rFonts w:cs="FrankRuehl"/>
          <w:sz w:val="26"/>
          <w:rtl/>
        </w:rPr>
      </w:pPr>
      <w:r>
        <w:rPr>
          <w:rFonts w:cs="FrankRuehl"/>
          <w:sz w:val="26"/>
          <w:rtl/>
        </w:rPr>
        <w:t>------------</w:t>
      </w:r>
    </w:p>
    <w:p w:rsidR="007B14FC" w:rsidRDefault="007B14FC" w:rsidP="007B14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(14)</w:t>
      </w:r>
      <w:r>
        <w:rPr>
          <w:rFonts w:cs="FrankRuehl"/>
          <w:rtl/>
        </w:rPr>
        <w:t> </w:t>
      </w:r>
      <w:r>
        <w:rPr>
          <w:rFonts w:cs="FrankRuehl"/>
          <w:rtl/>
        </w:rPr>
        <w:t>פו</w:t>
      </w:r>
      <w:r>
        <w:rPr>
          <w:rFonts w:cs="FrankRuehl" w:hint="cs"/>
          <w:rtl/>
        </w:rPr>
        <w:t xml:space="preserve">רסמו </w:t>
      </w:r>
      <w:hyperlink r:id="rId6" w:history="1">
        <w:r w:rsidRPr="007B14FC">
          <w:rPr>
            <w:rStyle w:val="Hyperlink"/>
            <w:rFonts w:cs="FrankRuehl" w:hint="cs"/>
            <w:rtl/>
          </w:rPr>
          <w:t>ק"ת תשל"ב מס' 2819</w:t>
        </w:r>
      </w:hyperlink>
      <w:r>
        <w:rPr>
          <w:rFonts w:cs="FrankRuehl" w:hint="cs"/>
          <w:rtl/>
        </w:rPr>
        <w:t xml:space="preserve"> מיום </w:t>
      </w:r>
      <w:r>
        <w:rPr>
          <w:rFonts w:cs="FrankRuehl"/>
          <w:rtl/>
        </w:rPr>
        <w:t>12.3.1972 ע</w:t>
      </w:r>
      <w:r>
        <w:rPr>
          <w:rFonts w:cs="FrankRuehl" w:hint="cs"/>
          <w:rtl/>
        </w:rPr>
        <w:t>מ' 773.</w:t>
      </w:r>
    </w:p>
    <w:p w:rsidR="007B14FC" w:rsidRDefault="007B14FC">
      <w:pPr>
        <w:pStyle w:val="P00"/>
        <w:spacing w:before="72"/>
        <w:ind w:left="0" w:right="1134"/>
        <w:rPr>
          <w:rStyle w:val="default"/>
          <w:rFonts w:cs="FrankRuehl" w:hint="cs"/>
          <w:rtl/>
        </w:rPr>
      </w:pPr>
    </w:p>
    <w:p w:rsidR="000134D0" w:rsidRDefault="000134D0">
      <w:pPr>
        <w:pStyle w:val="medium2-header"/>
        <w:keepLines w:val="0"/>
        <w:spacing w:before="72"/>
        <w:ind w:left="0" w:right="1134"/>
        <w:rPr>
          <w:rFonts w:cs="FrankRuehl"/>
          <w:noProof/>
          <w:rtl/>
        </w:rPr>
      </w:pPr>
      <w:bookmarkStart w:id="0" w:name="med0"/>
      <w:bookmarkEnd w:id="0"/>
      <w:r>
        <w:rPr>
          <w:rFonts w:cs="FrankRuehl"/>
          <w:noProof/>
          <w:rtl/>
        </w:rPr>
        <w:t>תו</w:t>
      </w:r>
      <w:r>
        <w:rPr>
          <w:rFonts w:cs="FrankRuehl" w:hint="cs"/>
          <w:noProof/>
          <w:rtl/>
        </w:rPr>
        <w:t>ספת</w:t>
      </w:r>
    </w:p>
    <w:p w:rsidR="000134D0" w:rsidRDefault="000134D0">
      <w:pPr>
        <w:pStyle w:val="medium-header"/>
        <w:keepNext w:val="0"/>
        <w:keepLines w:val="0"/>
        <w:ind w:left="0" w:right="1134"/>
        <w:rPr>
          <w:rFonts w:cs="FrankRuehl"/>
          <w:sz w:val="26"/>
          <w:rtl/>
        </w:rPr>
      </w:pPr>
      <w:r>
        <w:rPr>
          <w:rFonts w:cs="FrankRuehl"/>
          <w:sz w:val="26"/>
          <w:rtl/>
        </w:rPr>
        <w:t>(ת</w:t>
      </w:r>
      <w:r>
        <w:rPr>
          <w:rFonts w:cs="FrankRuehl" w:hint="cs"/>
          <w:sz w:val="26"/>
          <w:rtl/>
        </w:rPr>
        <w:t>קנות 1 ו-2)</w:t>
      </w:r>
    </w:p>
    <w:p w:rsidR="000134D0" w:rsidRDefault="000134D0">
      <w:pPr>
        <w:pStyle w:val="P00"/>
        <w:spacing w:before="72"/>
        <w:ind w:left="0" w:right="1134"/>
        <w:rPr>
          <w:rStyle w:val="default"/>
          <w:rFonts w:cs="FrankRuehl"/>
          <w:rtl/>
        </w:rPr>
      </w:pPr>
      <w:r>
        <w:rPr>
          <w:rStyle w:val="default"/>
          <w:rFonts w:cs="FrankRuehl"/>
          <w:rtl/>
        </w:rPr>
        <w:t>1.</w:t>
      </w:r>
      <w:r>
        <w:rPr>
          <w:rStyle w:val="default"/>
          <w:rFonts w:cs="FrankRuehl"/>
          <w:rtl/>
        </w:rPr>
        <w:tab/>
        <w:t>(</w:t>
      </w:r>
      <w:r>
        <w:rPr>
          <w:rStyle w:val="default"/>
          <w:rFonts w:cs="FrankRuehl" w:hint="cs"/>
          <w:rtl/>
        </w:rPr>
        <w:t>א)</w:t>
      </w:r>
      <w:r>
        <w:rPr>
          <w:rStyle w:val="default"/>
          <w:rFonts w:cs="FrankRuehl"/>
          <w:rtl/>
        </w:rPr>
        <w:tab/>
        <w:t>ס</w:t>
      </w:r>
      <w:r>
        <w:rPr>
          <w:rStyle w:val="default"/>
          <w:rFonts w:cs="FrankRuehl" w:hint="cs"/>
          <w:rtl/>
        </w:rPr>
        <w:t xml:space="preserve">ביב לבנין בית ספר יותקנו ברזי כיבוי בקוטר של "2, כשהמרחק בין ברז כיבוי למשנהו יהיה </w:t>
      </w:r>
      <w:smartTag w:uri="urn:schemas-microsoft-com:office:smarttags" w:element="metricconverter">
        <w:smartTagPr>
          <w:attr w:name="ProductID" w:val="90 מטר"/>
        </w:smartTagPr>
        <w:r>
          <w:rPr>
            <w:rStyle w:val="default"/>
            <w:rFonts w:cs="FrankRuehl" w:hint="cs"/>
            <w:rtl/>
          </w:rPr>
          <w:t>90 מטר</w:t>
        </w:r>
      </w:smartTag>
      <w:r>
        <w:rPr>
          <w:rStyle w:val="default"/>
          <w:rFonts w:cs="FrankRuehl" w:hint="cs"/>
          <w:rtl/>
        </w:rPr>
        <w:t xml:space="preserve"> (להלן </w:t>
      </w:r>
      <w:r>
        <w:rPr>
          <w:rStyle w:val="default"/>
          <w:rFonts w:cs="FrankRuehl"/>
          <w:rtl/>
        </w:rPr>
        <w:t xml:space="preserve">— </w:t>
      </w:r>
      <w:r>
        <w:rPr>
          <w:rStyle w:val="default"/>
          <w:rFonts w:cs="FrankRuehl" w:hint="cs"/>
          <w:rtl/>
        </w:rPr>
        <w:t>ברזי כיבוי חיצ</w:t>
      </w:r>
      <w:r>
        <w:rPr>
          <w:rStyle w:val="default"/>
          <w:rFonts w:cs="FrankRuehl"/>
          <w:rtl/>
        </w:rPr>
        <w:t>ונ</w:t>
      </w:r>
      <w:r>
        <w:rPr>
          <w:rStyle w:val="default"/>
          <w:rFonts w:cs="FrankRuehl" w:hint="cs"/>
          <w:rtl/>
        </w:rPr>
        <w:t>יים), ובאופן שבקרבת כל כניסה לבית ספר יהיה ברז כיבוי אחד.</w:t>
      </w:r>
    </w:p>
    <w:p w:rsidR="000134D0" w:rsidRDefault="000134D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בנין בית ספר שיש בו למעלה מחמש קומות יותקנו ברזי כיבוי בקוטר של "2 בקומה החמישית ובכל קומה שניה שמעל הקומה החמישית, כשהמרחק בין ברז כיבוי למשנהו באותו המפלס יהיה עד </w:t>
      </w:r>
      <w:smartTag w:uri="urn:schemas-microsoft-com:office:smarttags" w:element="metricconverter">
        <w:smartTagPr>
          <w:attr w:name="ProductID" w:val="60 מטר"/>
        </w:smartTagPr>
        <w:r>
          <w:rPr>
            <w:rStyle w:val="default"/>
            <w:rFonts w:cs="FrankRuehl" w:hint="cs"/>
            <w:rtl/>
          </w:rPr>
          <w:t>60 מטר</w:t>
        </w:r>
      </w:smartTag>
      <w:r>
        <w:rPr>
          <w:rStyle w:val="default"/>
          <w:rFonts w:cs="FrankRuehl" w:hint="cs"/>
          <w:rtl/>
        </w:rPr>
        <w:t xml:space="preserve"> (להלן </w:t>
      </w:r>
      <w:r>
        <w:rPr>
          <w:rStyle w:val="default"/>
          <w:rFonts w:cs="FrankRuehl"/>
          <w:rtl/>
        </w:rPr>
        <w:t xml:space="preserve">— </w:t>
      </w:r>
      <w:r>
        <w:rPr>
          <w:rStyle w:val="default"/>
          <w:rFonts w:cs="FrankRuehl" w:hint="cs"/>
          <w:rtl/>
        </w:rPr>
        <w:t>ברזי כיבוי</w:t>
      </w:r>
      <w:r>
        <w:rPr>
          <w:rStyle w:val="default"/>
          <w:rFonts w:cs="FrankRuehl"/>
          <w:rtl/>
        </w:rPr>
        <w:t xml:space="preserve"> פ</w:t>
      </w:r>
      <w:r>
        <w:rPr>
          <w:rStyle w:val="default"/>
          <w:rFonts w:cs="FrankRuehl" w:hint="cs"/>
          <w:rtl/>
        </w:rPr>
        <w:t>נימיים), ובאופן שבקרבת כל חדר מדרגות ראשי ומשני יותקן ברז כיבוי.</w:t>
      </w:r>
    </w:p>
    <w:p w:rsidR="000134D0" w:rsidRDefault="000134D0">
      <w:pPr>
        <w:pStyle w:val="page"/>
        <w:widowControl/>
        <w:ind w:right="1134"/>
        <w:rPr>
          <w:rFonts w:cs="David"/>
          <w:position w:val="0"/>
          <w:sz w:val="22"/>
          <w:rtl/>
        </w:rPr>
      </w:pPr>
      <w:r>
        <w:rPr>
          <w:rFonts w:cs="David"/>
          <w:position w:val="0"/>
          <w:sz w:val="22"/>
          <w:rtl/>
        </w:rPr>
        <w:t xml:space="preserve"> </w:t>
      </w:r>
    </w:p>
    <w:p w:rsidR="000134D0" w:rsidRDefault="000134D0">
      <w:pPr>
        <w:pStyle w:val="P00"/>
        <w:spacing w:before="72"/>
        <w:ind w:left="0" w:right="1134"/>
        <w:rPr>
          <w:rStyle w:val="default"/>
          <w:rFonts w:cs="FrankRuehl"/>
          <w:rtl/>
        </w:rPr>
      </w:pPr>
      <w:bookmarkStart w:id="1" w:name="Seif0"/>
      <w:bookmarkEnd w:id="1"/>
      <w:r>
        <w:rPr>
          <w:lang w:val="he-IL"/>
        </w:rPr>
        <w:pict>
          <v:rect id="_x0000_s1026" style="position:absolute;left:0;text-align:left;margin-left:464.5pt;margin-top:8.05pt;width:75.05pt;height:8pt;z-index:251656192" o:allowincell="f" filled="f" stroked="f" strokecolor="lime" strokeweight=".25pt">
            <v:textbox inset="0,0,0,0">
              <w:txbxContent>
                <w:p w:rsidR="000134D0" w:rsidRDefault="000134D0">
                  <w:pPr>
                    <w:spacing w:line="160" w:lineRule="exact"/>
                    <w:jc w:val="left"/>
                    <w:rPr>
                      <w:rFonts w:cs="Miriam"/>
                      <w:noProof/>
                      <w:sz w:val="18"/>
                      <w:szCs w:val="18"/>
                      <w:rtl/>
                    </w:rPr>
                  </w:pPr>
                  <w:r>
                    <w:rPr>
                      <w:rFonts w:cs="Miriam"/>
                      <w:sz w:val="18"/>
                      <w:szCs w:val="18"/>
                      <w:rtl/>
                    </w:rPr>
                    <w:t>הס</w:t>
                  </w:r>
                  <w:r>
                    <w:rPr>
                      <w:rFonts w:cs="Miriam" w:hint="cs"/>
                      <w:sz w:val="18"/>
                      <w:szCs w:val="18"/>
                      <w:rtl/>
                    </w:rPr>
                    <w:t>פקת מים</w:t>
                  </w:r>
                </w:p>
              </w:txbxContent>
            </v:textbox>
            <w10:anchorlock/>
          </v:rect>
        </w:pict>
      </w:r>
      <w:r>
        <w:rPr>
          <w:rStyle w:val="default"/>
          <w:rFonts w:cs="FrankRuehl"/>
          <w:rtl/>
        </w:rPr>
        <w:t>2.</w:t>
      </w:r>
      <w:r>
        <w:rPr>
          <w:rStyle w:val="default"/>
          <w:rFonts w:cs="FrankRuehl"/>
          <w:rtl/>
        </w:rPr>
        <w:tab/>
        <w:t>ה</w:t>
      </w:r>
      <w:r>
        <w:rPr>
          <w:rStyle w:val="default"/>
          <w:rFonts w:cs="FrankRuehl" w:hint="cs"/>
          <w:rtl/>
        </w:rPr>
        <w:t>ספקת המים לברזי הכיבוי החיצוניים והפנימיים צריכה לאפשר הפעלת שני ברזי כיבוי חיצוניים או פנימיים בבת אחת כאשר בכל אחד יז</w:t>
      </w:r>
      <w:r>
        <w:rPr>
          <w:rStyle w:val="default"/>
          <w:rFonts w:cs="FrankRuehl"/>
          <w:rtl/>
        </w:rPr>
        <w:t>ר</w:t>
      </w:r>
      <w:r>
        <w:rPr>
          <w:rStyle w:val="default"/>
          <w:rFonts w:cs="FrankRuehl" w:hint="cs"/>
          <w:rtl/>
        </w:rPr>
        <w:t xml:space="preserve">מו </w:t>
      </w:r>
      <w:smartTag w:uri="urn:schemas-microsoft-com:office:smarttags" w:element="metricconverter">
        <w:smartTagPr>
          <w:attr w:name="ProductID" w:val="250 ליטר"/>
        </w:smartTagPr>
        <w:r>
          <w:rPr>
            <w:rStyle w:val="default"/>
            <w:rFonts w:cs="FrankRuehl" w:hint="cs"/>
            <w:rtl/>
          </w:rPr>
          <w:t>250 ליטר</w:t>
        </w:r>
      </w:smartTag>
      <w:r>
        <w:rPr>
          <w:rStyle w:val="default"/>
          <w:rFonts w:cs="FrankRuehl" w:hint="cs"/>
          <w:rtl/>
        </w:rPr>
        <w:t xml:space="preserve"> מים לדקה, בלחץ של 4 אטמוס</w:t>
      </w:r>
      <w:r>
        <w:rPr>
          <w:rStyle w:val="default"/>
          <w:rFonts w:cs="FrankRuehl"/>
          <w:rtl/>
        </w:rPr>
        <w:t>פר</w:t>
      </w:r>
      <w:r>
        <w:rPr>
          <w:rStyle w:val="default"/>
          <w:rFonts w:cs="FrankRuehl" w:hint="cs"/>
          <w:rtl/>
        </w:rPr>
        <w:t>ות, באופן שהלחץ לא יגדל בברזי הכיבוי החיצוניים והפנימיים מעל ל-7 אטמוספרות ולא יקטן מ-2 אטמוספרות.</w:t>
      </w:r>
    </w:p>
    <w:p w:rsidR="000134D0" w:rsidRDefault="000134D0">
      <w:pPr>
        <w:pStyle w:val="P00"/>
        <w:spacing w:before="72"/>
        <w:ind w:left="0" w:right="1134"/>
        <w:rPr>
          <w:rStyle w:val="default"/>
          <w:rFonts w:cs="FrankRuehl"/>
          <w:rtl/>
        </w:rPr>
      </w:pPr>
      <w:bookmarkStart w:id="2" w:name="Seif1"/>
      <w:bookmarkEnd w:id="2"/>
      <w:r>
        <w:rPr>
          <w:lang w:val="he-IL"/>
        </w:rPr>
        <w:pict>
          <v:rect id="_x0000_s1027" style="position:absolute;left:0;text-align:left;margin-left:464.5pt;margin-top:8.05pt;width:75.05pt;height:16pt;z-index:251657216" o:allowincell="f" filled="f" stroked="f" strokecolor="lime" strokeweight=".25pt">
            <v:textbox inset="0,0,0,0">
              <w:txbxContent>
                <w:p w:rsidR="000134D0" w:rsidRDefault="000134D0">
                  <w:pPr>
                    <w:spacing w:line="160" w:lineRule="exact"/>
                    <w:jc w:val="left"/>
                    <w:rPr>
                      <w:rFonts w:cs="Miriam"/>
                      <w:noProof/>
                      <w:sz w:val="18"/>
                      <w:szCs w:val="18"/>
                      <w:rtl/>
                    </w:rPr>
                  </w:pPr>
                  <w:r>
                    <w:rPr>
                      <w:rFonts w:cs="Miriam"/>
                      <w:sz w:val="18"/>
                      <w:szCs w:val="18"/>
                      <w:rtl/>
                    </w:rPr>
                    <w:t>זר</w:t>
                  </w:r>
                  <w:r>
                    <w:rPr>
                      <w:rFonts w:cs="Miriam" w:hint="cs"/>
                      <w:sz w:val="18"/>
                      <w:szCs w:val="18"/>
                      <w:rtl/>
                    </w:rPr>
                    <w:t>נוק כיבוי</w:t>
                  </w:r>
                </w:p>
                <w:p w:rsidR="000134D0" w:rsidRDefault="000134D0">
                  <w:pPr>
                    <w:spacing w:line="160" w:lineRule="exact"/>
                    <w:jc w:val="left"/>
                    <w:rPr>
                      <w:rFonts w:cs="Miriam"/>
                      <w:noProof/>
                      <w:sz w:val="18"/>
                      <w:szCs w:val="18"/>
                      <w:rtl/>
                    </w:rPr>
                  </w:pPr>
                  <w:r>
                    <w:rPr>
                      <w:rFonts w:cs="Miriam"/>
                      <w:sz w:val="18"/>
                      <w:szCs w:val="18"/>
                      <w:rtl/>
                    </w:rPr>
                    <w:t>ומ</w:t>
                  </w:r>
                  <w:r>
                    <w:rPr>
                      <w:rFonts w:cs="Miriam" w:hint="cs"/>
                      <w:sz w:val="18"/>
                      <w:szCs w:val="18"/>
                      <w:rtl/>
                    </w:rPr>
                    <w:t>זנקי כיבוי</w:t>
                  </w:r>
                </w:p>
              </w:txbxContent>
            </v:textbox>
            <w10:anchorlock/>
          </v:rect>
        </w:pict>
      </w:r>
      <w:r>
        <w:rPr>
          <w:rStyle w:val="default"/>
          <w:rFonts w:cs="FrankRuehl"/>
          <w:rtl/>
        </w:rPr>
        <w:t>3.</w:t>
      </w:r>
      <w:r>
        <w:rPr>
          <w:rStyle w:val="default"/>
          <w:rFonts w:cs="FrankRuehl"/>
          <w:rtl/>
        </w:rPr>
        <w:tab/>
        <w:t>ל</w:t>
      </w:r>
      <w:r>
        <w:rPr>
          <w:rStyle w:val="default"/>
          <w:rFonts w:cs="FrankRuehl" w:hint="cs"/>
          <w:rtl/>
        </w:rPr>
        <w:t xml:space="preserve">יד כל ברז כיבוי יותקן ארון ציוד כיבוי שיכיל שני זרנוקי כיבוי באורך של </w:t>
      </w:r>
      <w:smartTag w:uri="urn:schemas-microsoft-com:office:smarttags" w:element="metricconverter">
        <w:smartTagPr>
          <w:attr w:name="ProductID" w:val="15 מטר"/>
        </w:smartTagPr>
        <w:r>
          <w:rPr>
            <w:rStyle w:val="default"/>
            <w:rFonts w:cs="FrankRuehl" w:hint="cs"/>
            <w:rtl/>
          </w:rPr>
          <w:t>15 מטר</w:t>
        </w:r>
      </w:smartTag>
      <w:r>
        <w:rPr>
          <w:rStyle w:val="default"/>
          <w:rFonts w:cs="FrankRuehl" w:hint="cs"/>
          <w:rtl/>
        </w:rPr>
        <w:t xml:space="preserve"> כל אחד ע</w:t>
      </w:r>
      <w:r>
        <w:rPr>
          <w:rStyle w:val="default"/>
          <w:rFonts w:cs="FrankRuehl"/>
          <w:rtl/>
        </w:rPr>
        <w:t>ם</w:t>
      </w:r>
      <w:r>
        <w:rPr>
          <w:rStyle w:val="default"/>
          <w:rFonts w:cs="FrankRuehl" w:hint="cs"/>
          <w:rtl/>
        </w:rPr>
        <w:t xml:space="preserve"> מזנק שנחירו בקוטר של </w:t>
      </w:r>
      <w:smartTag w:uri="urn:schemas-microsoft-com:office:smarttags" w:element="metricconverter">
        <w:smartTagPr>
          <w:attr w:name="ProductID" w:val="8 מילימטרים"/>
        </w:smartTagPr>
        <w:r>
          <w:rPr>
            <w:rStyle w:val="default"/>
            <w:rFonts w:cs="FrankRuehl" w:hint="cs"/>
            <w:rtl/>
          </w:rPr>
          <w:t>8 מילימטרים</w:t>
        </w:r>
      </w:smartTag>
      <w:r>
        <w:rPr>
          <w:rStyle w:val="default"/>
          <w:rFonts w:cs="FrankRuehl" w:hint="cs"/>
          <w:rtl/>
        </w:rPr>
        <w:t xml:space="preserve"> מסוג סילון ריסוס.</w:t>
      </w:r>
    </w:p>
    <w:p w:rsidR="000134D0" w:rsidRDefault="000134D0">
      <w:pPr>
        <w:pStyle w:val="P00"/>
        <w:spacing w:before="72"/>
        <w:ind w:left="0" w:right="1134"/>
        <w:rPr>
          <w:rStyle w:val="default"/>
          <w:rFonts w:cs="FrankRuehl"/>
          <w:rtl/>
        </w:rPr>
      </w:pPr>
      <w:bookmarkStart w:id="3" w:name="Seif2"/>
      <w:bookmarkEnd w:id="3"/>
      <w:r>
        <w:rPr>
          <w:lang w:val="he-IL"/>
        </w:rPr>
        <w:pict>
          <v:rect id="_x0000_s1028" style="position:absolute;left:0;text-align:left;margin-left:464.5pt;margin-top:8.05pt;width:75.05pt;height:24pt;z-index:251658240" o:allowincell="f" filled="f" stroked="f" strokecolor="lime" strokeweight=".25pt">
            <v:textbox inset="0,0,0,0">
              <w:txbxContent>
                <w:p w:rsidR="000134D0" w:rsidRDefault="000134D0">
                  <w:pPr>
                    <w:spacing w:line="160" w:lineRule="exact"/>
                    <w:jc w:val="left"/>
                    <w:rPr>
                      <w:rFonts w:cs="Miriam"/>
                      <w:noProof/>
                      <w:sz w:val="18"/>
                      <w:szCs w:val="18"/>
                      <w:rtl/>
                    </w:rPr>
                  </w:pPr>
                  <w:r>
                    <w:rPr>
                      <w:rFonts w:cs="Miriam"/>
                      <w:sz w:val="18"/>
                      <w:szCs w:val="18"/>
                      <w:rtl/>
                    </w:rPr>
                    <w:t>גל</w:t>
                  </w:r>
                  <w:r>
                    <w:rPr>
                      <w:rFonts w:cs="Miriam" w:hint="cs"/>
                      <w:sz w:val="18"/>
                      <w:szCs w:val="18"/>
                      <w:rtl/>
                    </w:rPr>
                    <w:t>גילוני כיבוי</w:t>
                  </w:r>
                </w:p>
                <w:p w:rsidR="000134D0" w:rsidRDefault="000134D0">
                  <w:pPr>
                    <w:spacing w:line="160" w:lineRule="exact"/>
                    <w:jc w:val="left"/>
                    <w:rPr>
                      <w:rFonts w:cs="Miriam"/>
                      <w:noProof/>
                      <w:sz w:val="18"/>
                      <w:szCs w:val="18"/>
                      <w:rtl/>
                    </w:rPr>
                  </w:pPr>
                  <w:r>
                    <w:rPr>
                      <w:rFonts w:cs="Miriam"/>
                      <w:sz w:val="18"/>
                      <w:szCs w:val="18"/>
                      <w:rtl/>
                    </w:rPr>
                    <w:t>מס</w:t>
                  </w:r>
                  <w:r>
                    <w:rPr>
                      <w:rFonts w:cs="Miriam" w:hint="cs"/>
                      <w:sz w:val="18"/>
                      <w:szCs w:val="18"/>
                      <w:rtl/>
                    </w:rPr>
                    <w:t>תובבים עם</w:t>
                  </w:r>
                </w:p>
                <w:p w:rsidR="000134D0" w:rsidRDefault="000134D0">
                  <w:pPr>
                    <w:spacing w:line="160" w:lineRule="exact"/>
                    <w:jc w:val="left"/>
                    <w:rPr>
                      <w:rFonts w:cs="Miriam"/>
                      <w:noProof/>
                      <w:sz w:val="18"/>
                      <w:szCs w:val="18"/>
                      <w:rtl/>
                    </w:rPr>
                  </w:pPr>
                  <w:r>
                    <w:rPr>
                      <w:rFonts w:cs="Miriam"/>
                      <w:sz w:val="18"/>
                      <w:szCs w:val="18"/>
                      <w:rtl/>
                    </w:rPr>
                    <w:t>מז</w:t>
                  </w:r>
                  <w:r>
                    <w:rPr>
                      <w:rFonts w:cs="Miriam" w:hint="cs"/>
                      <w:sz w:val="18"/>
                      <w:szCs w:val="18"/>
                      <w:rtl/>
                    </w:rPr>
                    <w:t>נק</w:t>
                  </w:r>
                </w:p>
              </w:txbxContent>
            </v:textbox>
            <w10:anchorlock/>
          </v:rect>
        </w:pict>
      </w:r>
      <w:r>
        <w:rPr>
          <w:rStyle w:val="default"/>
          <w:rFonts w:cs="FrankRuehl"/>
          <w:rtl/>
        </w:rPr>
        <w:t>4.</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 xml:space="preserve">כל </w:t>
      </w:r>
      <w:r>
        <w:rPr>
          <w:rStyle w:val="default"/>
          <w:rFonts w:cs="FrankRuehl"/>
          <w:rtl/>
        </w:rPr>
        <w:t>מפ</w:t>
      </w:r>
      <w:r>
        <w:rPr>
          <w:rStyle w:val="default"/>
          <w:rFonts w:cs="FrankRuehl" w:hint="cs"/>
          <w:rtl/>
        </w:rPr>
        <w:t xml:space="preserve">לס של בנין בית ספר יותקן גלגילון כיבוי ועליו צינור לחץ באורך של </w:t>
      </w:r>
      <w:smartTag w:uri="urn:schemas-microsoft-com:office:smarttags" w:element="metricconverter">
        <w:smartTagPr>
          <w:attr w:name="ProductID" w:val="25 מטר"/>
        </w:smartTagPr>
        <w:r>
          <w:rPr>
            <w:rStyle w:val="default"/>
            <w:rFonts w:cs="FrankRuehl" w:hint="cs"/>
            <w:rtl/>
          </w:rPr>
          <w:t>25 מטר</w:t>
        </w:r>
      </w:smartTag>
      <w:r>
        <w:rPr>
          <w:rStyle w:val="default"/>
          <w:rFonts w:cs="FrankRuehl" w:hint="cs"/>
          <w:rtl/>
        </w:rPr>
        <w:t xml:space="preserve"> בקוטר של " עם מזנק מסוג סילון ריסוס המחובר בדרך קבע לקצה הצינור (להלן </w:t>
      </w:r>
      <w:r>
        <w:rPr>
          <w:rStyle w:val="default"/>
          <w:rFonts w:cs="FrankRuehl"/>
          <w:rtl/>
        </w:rPr>
        <w:t xml:space="preserve">— </w:t>
      </w:r>
      <w:r>
        <w:rPr>
          <w:rStyle w:val="default"/>
          <w:rFonts w:cs="FrankRuehl" w:hint="cs"/>
          <w:rtl/>
        </w:rPr>
        <w:t>גלגילון כיבו</w:t>
      </w:r>
      <w:r>
        <w:rPr>
          <w:rStyle w:val="default"/>
          <w:rFonts w:cs="FrankRuehl"/>
          <w:rtl/>
        </w:rPr>
        <w:t>י</w:t>
      </w:r>
      <w:r>
        <w:rPr>
          <w:rStyle w:val="default"/>
          <w:rFonts w:cs="FrankRuehl" w:hint="cs"/>
          <w:rtl/>
        </w:rPr>
        <w:t xml:space="preserve">); מיקומם של גלגילוני הכיבוי ייקבע באופן שניתן יהיה להגיע עם גלגילון כיבוי לכל מקום </w:t>
      </w:r>
      <w:r>
        <w:rPr>
          <w:rStyle w:val="default"/>
          <w:rFonts w:cs="FrankRuehl" w:hint="cs"/>
          <w:rtl/>
        </w:rPr>
        <w:lastRenderedPageBreak/>
        <w:t>בבנין.</w:t>
      </w:r>
    </w:p>
    <w:p w:rsidR="000134D0" w:rsidRDefault="000134D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ו</w:t>
      </w:r>
      <w:r>
        <w:rPr>
          <w:rStyle w:val="default"/>
          <w:rFonts w:cs="FrankRuehl"/>
          <w:rtl/>
        </w:rPr>
        <w:t>סף</w:t>
      </w:r>
      <w:r>
        <w:rPr>
          <w:rStyle w:val="default"/>
          <w:rFonts w:cs="FrankRuehl" w:hint="cs"/>
          <w:rtl/>
        </w:rPr>
        <w:t xml:space="preserve"> לאמור בסעיף קטן (א), יותקן גלגילון כיבוי בכניסה לאולם התקהלות בבית ספר, מאחורי בימת הצגות, במעבדה, בבית מלאכה, במטבח, בחדר לשירותים הנדסיים ובמחסן לחמרים בעירים.</w:t>
      </w:r>
    </w:p>
    <w:p w:rsidR="000134D0" w:rsidRDefault="000134D0">
      <w:pPr>
        <w:pStyle w:val="P00"/>
        <w:spacing w:before="72"/>
        <w:ind w:left="0" w:right="1134"/>
        <w:rPr>
          <w:rStyle w:val="default"/>
          <w:rFonts w:cs="FrankRuehl"/>
          <w:rtl/>
        </w:rPr>
      </w:pPr>
      <w:bookmarkStart w:id="4" w:name="Seif3"/>
      <w:bookmarkEnd w:id="4"/>
      <w:r>
        <w:rPr>
          <w:lang w:val="he-IL"/>
        </w:rPr>
        <w:pict>
          <v:rect id="_x0000_s1029" style="position:absolute;left:0;text-align:left;margin-left:464.5pt;margin-top:8.05pt;width:75.05pt;height:8pt;z-index:251659264" o:allowincell="f" filled="f" stroked="f" strokecolor="lime" strokeweight=".25pt">
            <v:textbox inset="0,0,0,0">
              <w:txbxContent>
                <w:p w:rsidR="000134D0" w:rsidRDefault="000134D0">
                  <w:pPr>
                    <w:spacing w:line="160" w:lineRule="exact"/>
                    <w:jc w:val="left"/>
                    <w:rPr>
                      <w:rFonts w:cs="Miriam"/>
                      <w:noProof/>
                      <w:sz w:val="18"/>
                      <w:szCs w:val="18"/>
                      <w:rtl/>
                    </w:rPr>
                  </w:pPr>
                  <w:r>
                    <w:rPr>
                      <w:rFonts w:cs="Miriam"/>
                      <w:sz w:val="18"/>
                      <w:szCs w:val="18"/>
                      <w:rtl/>
                    </w:rPr>
                    <w:t>מט</w:t>
                  </w:r>
                  <w:r>
                    <w:rPr>
                      <w:rFonts w:cs="Miriam" w:hint="cs"/>
                      <w:sz w:val="18"/>
                      <w:szCs w:val="18"/>
                      <w:rtl/>
                    </w:rPr>
                    <w:t>פי כיבוי</w:t>
                  </w:r>
                </w:p>
              </w:txbxContent>
            </v:textbox>
            <w10:anchorlock/>
          </v:rect>
        </w:pict>
      </w:r>
      <w:r>
        <w:rPr>
          <w:rStyle w:val="default"/>
          <w:rFonts w:cs="FrankRuehl"/>
          <w:rtl/>
        </w:rPr>
        <w:t>5.</w:t>
      </w:r>
      <w:r>
        <w:rPr>
          <w:rStyle w:val="default"/>
          <w:rFonts w:cs="FrankRuehl"/>
          <w:rtl/>
        </w:rPr>
        <w:tab/>
        <w:t>ב</w:t>
      </w:r>
      <w:r>
        <w:rPr>
          <w:rStyle w:val="default"/>
          <w:rFonts w:cs="FrankRuehl" w:hint="cs"/>
          <w:rtl/>
        </w:rPr>
        <w:t>מקומות הבאים בבית ספר יותקנו שני מטפי כיבוי מסוג אבקה יבשה בגודל של 6 קילוגרם:</w:t>
      </w:r>
    </w:p>
    <w:p w:rsidR="000134D0" w:rsidRDefault="000134D0">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או</w:t>
      </w:r>
      <w:r>
        <w:rPr>
          <w:rStyle w:val="default"/>
          <w:rFonts w:cs="FrankRuehl"/>
          <w:rtl/>
        </w:rPr>
        <w:t>לם</w:t>
      </w:r>
      <w:r>
        <w:rPr>
          <w:rStyle w:val="default"/>
          <w:rFonts w:cs="FrankRuehl" w:hint="cs"/>
          <w:rtl/>
        </w:rPr>
        <w:t xml:space="preserve"> התקהלות;</w:t>
      </w:r>
    </w:p>
    <w:p w:rsidR="000134D0" w:rsidRDefault="000134D0">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אחורי בימת הצגות;</w:t>
      </w:r>
    </w:p>
    <w:p w:rsidR="000134D0" w:rsidRDefault="000134D0">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מעבדה;</w:t>
      </w:r>
    </w:p>
    <w:p w:rsidR="000134D0" w:rsidRDefault="000134D0">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בית מלאכה;</w:t>
      </w:r>
    </w:p>
    <w:p w:rsidR="000134D0" w:rsidRDefault="000134D0">
      <w:pPr>
        <w:pStyle w:val="P22"/>
        <w:spacing w:before="72"/>
        <w:ind w:left="1021" w:right="1134"/>
        <w:rPr>
          <w:rStyle w:val="default"/>
          <w:rFonts w:cs="FrankRuehl"/>
          <w:rtl/>
        </w:rPr>
      </w:pPr>
      <w:r>
        <w:rPr>
          <w:rStyle w:val="default"/>
          <w:rFonts w:cs="FrankRuehl" w:hint="cs"/>
          <w:rtl/>
        </w:rPr>
        <w:t>(5)</w:t>
      </w:r>
      <w:r>
        <w:rPr>
          <w:rStyle w:val="default"/>
          <w:rFonts w:cs="FrankRuehl"/>
          <w:rtl/>
        </w:rPr>
        <w:tab/>
        <w:t>ב</w:t>
      </w:r>
      <w:r>
        <w:rPr>
          <w:rStyle w:val="default"/>
          <w:rFonts w:cs="FrankRuehl" w:hint="cs"/>
          <w:rtl/>
        </w:rPr>
        <w:t>מטבח;</w:t>
      </w:r>
    </w:p>
    <w:p w:rsidR="000134D0" w:rsidRDefault="000134D0">
      <w:pPr>
        <w:pStyle w:val="P22"/>
        <w:spacing w:before="72"/>
        <w:ind w:left="1021" w:right="1134"/>
        <w:rPr>
          <w:rStyle w:val="default"/>
          <w:rFonts w:cs="FrankRuehl"/>
          <w:rtl/>
        </w:rPr>
      </w:pPr>
      <w:r>
        <w:rPr>
          <w:rStyle w:val="default"/>
          <w:rFonts w:cs="FrankRuehl" w:hint="cs"/>
          <w:rtl/>
        </w:rPr>
        <w:t>(6)</w:t>
      </w:r>
      <w:r>
        <w:rPr>
          <w:rStyle w:val="default"/>
          <w:rFonts w:cs="FrankRuehl"/>
          <w:rtl/>
        </w:rPr>
        <w:tab/>
        <w:t>ב</w:t>
      </w:r>
      <w:r>
        <w:rPr>
          <w:rStyle w:val="default"/>
          <w:rFonts w:cs="FrankRuehl" w:hint="cs"/>
          <w:rtl/>
        </w:rPr>
        <w:t>מחסן של חמרים בעירים.</w:t>
      </w:r>
    </w:p>
    <w:p w:rsidR="000134D0" w:rsidRDefault="000134D0">
      <w:pPr>
        <w:pStyle w:val="P22"/>
        <w:spacing w:before="72"/>
        <w:ind w:left="1021" w:right="1134"/>
        <w:rPr>
          <w:rStyle w:val="default"/>
          <w:rFonts w:cs="FrankRuehl"/>
          <w:rtl/>
        </w:rPr>
      </w:pPr>
    </w:p>
    <w:p w:rsidR="000134D0" w:rsidRDefault="000134D0">
      <w:pPr>
        <w:pStyle w:val="P22"/>
        <w:spacing w:before="72"/>
        <w:ind w:left="1021" w:right="1134"/>
        <w:rPr>
          <w:rStyle w:val="default"/>
          <w:rFonts w:cs="FrankRuehl"/>
          <w:rtl/>
        </w:rPr>
      </w:pPr>
    </w:p>
    <w:p w:rsidR="000134D0" w:rsidRDefault="000134D0">
      <w:pPr>
        <w:pStyle w:val="sig-0"/>
        <w:ind w:left="0" w:right="1134"/>
        <w:rPr>
          <w:rFonts w:cs="FrankRuehl"/>
          <w:sz w:val="26"/>
          <w:rtl/>
        </w:rPr>
      </w:pPr>
      <w:r>
        <w:rPr>
          <w:rFonts w:cs="FrankRuehl"/>
          <w:sz w:val="26"/>
          <w:rtl/>
        </w:rPr>
        <w:t>כ"</w:t>
      </w:r>
      <w:r>
        <w:rPr>
          <w:rFonts w:cs="FrankRuehl" w:hint="cs"/>
          <w:sz w:val="26"/>
          <w:rtl/>
        </w:rPr>
        <w:t>ט בטבת תשל"ב (16 בינואר 1972)</w:t>
      </w:r>
      <w:r>
        <w:rPr>
          <w:rFonts w:cs="FrankRuehl"/>
          <w:sz w:val="26"/>
          <w:rtl/>
        </w:rPr>
        <w:tab/>
        <w:t>י</w:t>
      </w:r>
      <w:r>
        <w:rPr>
          <w:rFonts w:cs="FrankRuehl" w:hint="cs"/>
          <w:sz w:val="26"/>
          <w:rtl/>
        </w:rPr>
        <w:t>וסף בורג</w:t>
      </w:r>
    </w:p>
    <w:p w:rsidR="000134D0" w:rsidRDefault="000134D0">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הפנים</w:t>
      </w:r>
    </w:p>
    <w:p w:rsidR="000134D0" w:rsidRDefault="000134D0">
      <w:pPr>
        <w:ind w:right="1134"/>
        <w:rPr>
          <w:rFonts w:cs="David"/>
          <w:sz w:val="24"/>
          <w:rtl/>
        </w:rPr>
      </w:pPr>
      <w:bookmarkStart w:id="5" w:name="LawPartEnd"/>
    </w:p>
    <w:bookmarkEnd w:id="5"/>
    <w:p w:rsidR="000134D0" w:rsidRDefault="000134D0">
      <w:pPr>
        <w:ind w:right="1134"/>
        <w:rPr>
          <w:rFonts w:cs="David"/>
          <w:sz w:val="24"/>
          <w:rtl/>
        </w:rPr>
      </w:pPr>
    </w:p>
    <w:sectPr w:rsidR="000134D0">
      <w:headerReference w:type="even" r:id="rId7"/>
      <w:headerReference w:type="default" r:id="rId8"/>
      <w:footerReference w:type="even" r:id="rId9"/>
      <w:footerReference w:type="default" r:id="rId10"/>
      <w:headerReference w:type="first" r:id="rId11"/>
      <w:footerReference w:type="firs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F25F1" w:rsidRDefault="00FF25F1">
      <w:r>
        <w:separator/>
      </w:r>
    </w:p>
  </w:endnote>
  <w:endnote w:type="continuationSeparator" w:id="0">
    <w:p w:rsidR="00FF25F1" w:rsidRDefault="00FF2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34D0" w:rsidRDefault="000134D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134D0" w:rsidRDefault="000134D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134D0" w:rsidRDefault="000134D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M:\0a-lishca\law\gideon-03-02-13\law01\183_013.doc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34D0" w:rsidRDefault="000134D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35E82">
      <w:rPr>
        <w:rFonts w:hAnsi="FrankRuehl" w:cs="FrankRuehl"/>
        <w:noProof/>
        <w:sz w:val="24"/>
        <w:szCs w:val="24"/>
        <w:rtl/>
      </w:rPr>
      <w:t>2</w:t>
    </w:r>
    <w:r>
      <w:rPr>
        <w:rFonts w:hAnsi="FrankRuehl" w:cs="FrankRuehl"/>
        <w:sz w:val="24"/>
        <w:szCs w:val="24"/>
        <w:rtl/>
      </w:rPr>
      <w:fldChar w:fldCharType="end"/>
    </w:r>
  </w:p>
  <w:p w:rsidR="000134D0" w:rsidRDefault="000134D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134D0" w:rsidRDefault="000134D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M:\0a-lishca\law\gideon-03-02-13\law01\183_013.doc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34D0" w:rsidRDefault="000134D0">
    <w:pPr>
      <w:pStyle w:val="a4"/>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F25F1" w:rsidRDefault="00FF25F1">
      <w:r>
        <w:separator/>
      </w:r>
    </w:p>
  </w:footnote>
  <w:footnote w:type="continuationSeparator" w:id="0">
    <w:p w:rsidR="00FF25F1" w:rsidRDefault="00FF25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34D0" w:rsidRDefault="000134D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שירותי הכבאות (ציוד כיבוי בבתי ספר), תשל"ב–1972</w:t>
    </w:r>
  </w:p>
  <w:p w:rsidR="000134D0" w:rsidRDefault="000134D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134D0" w:rsidRDefault="000134D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34D0" w:rsidRDefault="000134D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שירותי הכבאות (ציוד כיבוי בבתי ספר), תשל"ב–1972</w:t>
    </w:r>
  </w:p>
  <w:p w:rsidR="000134D0" w:rsidRDefault="000134D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134D0" w:rsidRDefault="000134D0">
    <w:pPr>
      <w:pStyle w:val="a3"/>
      <w:pBdr>
        <w:top w:val="single" w:sz="4" w:space="0" w:color="auto"/>
      </w:pBdr>
      <w:spacing w:line="220" w:lineRule="exact"/>
      <w:ind w:right="1134"/>
      <w:jc w:val="center"/>
      <w:rPr>
        <w:rFonts w:hAnsi="FrankRuehl" w:cs="FrankRuehl"/>
        <w:color w:val="00000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34D0" w:rsidRDefault="000134D0">
    <w:pPr>
      <w:pStyle w:val="a3"/>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14FC"/>
    <w:rsid w:val="000134D0"/>
    <w:rsid w:val="000D1A8B"/>
    <w:rsid w:val="002505E3"/>
    <w:rsid w:val="00260DBF"/>
    <w:rsid w:val="00444E91"/>
    <w:rsid w:val="005478D6"/>
    <w:rsid w:val="007B14FC"/>
    <w:rsid w:val="00C35E82"/>
    <w:rsid w:val="00F61BCE"/>
    <w:rsid w:val="00FF25F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2826A662-CD4F-4322-8D00-AF7E22016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2819.pdf"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פרק 183</vt:lpstr>
    </vt:vector>
  </TitlesOfParts>
  <Company/>
  <LinksUpToDate>false</LinksUpToDate>
  <CharactersWithSpaces>3573</CharactersWithSpaces>
  <SharedDoc>false</SharedDoc>
  <HLinks>
    <vt:vector size="36" baseType="variant">
      <vt:variant>
        <vt:i4>7995401</vt:i4>
      </vt:variant>
      <vt:variant>
        <vt:i4>30</vt:i4>
      </vt:variant>
      <vt:variant>
        <vt:i4>0</vt:i4>
      </vt:variant>
      <vt:variant>
        <vt:i4>5</vt:i4>
      </vt:variant>
      <vt:variant>
        <vt:lpwstr>http://www.nevo.co.il/Law_word/law06/TAK-2819.pdf</vt:lpwstr>
      </vt:variant>
      <vt:variant>
        <vt:lpwstr/>
      </vt:variant>
      <vt:variant>
        <vt:i4>196634</vt:i4>
      </vt:variant>
      <vt:variant>
        <vt:i4>27</vt:i4>
      </vt:variant>
      <vt:variant>
        <vt:i4>0</vt:i4>
      </vt:variant>
      <vt:variant>
        <vt:i4>5</vt:i4>
      </vt:variant>
      <vt:variant>
        <vt:lpwstr/>
      </vt:variant>
      <vt:variant>
        <vt:lpwstr>Seif3</vt:lpwstr>
      </vt:variant>
      <vt:variant>
        <vt:i4>196634</vt:i4>
      </vt:variant>
      <vt:variant>
        <vt:i4>21</vt:i4>
      </vt:variant>
      <vt:variant>
        <vt:i4>0</vt:i4>
      </vt:variant>
      <vt:variant>
        <vt:i4>5</vt:i4>
      </vt:variant>
      <vt:variant>
        <vt:lpwstr/>
      </vt:variant>
      <vt:variant>
        <vt:lpwstr>Seif2</vt:lpwstr>
      </vt:variant>
      <vt:variant>
        <vt:i4>196634</vt:i4>
      </vt:variant>
      <vt:variant>
        <vt:i4>15</vt:i4>
      </vt:variant>
      <vt:variant>
        <vt:i4>0</vt:i4>
      </vt:variant>
      <vt:variant>
        <vt:i4>5</vt:i4>
      </vt:variant>
      <vt:variant>
        <vt:lpwstr/>
      </vt:variant>
      <vt:variant>
        <vt:lpwstr>Seif1</vt:lpwstr>
      </vt:variant>
      <vt:variant>
        <vt:i4>196634</vt:i4>
      </vt:variant>
      <vt:variant>
        <vt:i4>9</vt:i4>
      </vt:variant>
      <vt:variant>
        <vt:i4>0</vt:i4>
      </vt:variant>
      <vt:variant>
        <vt:i4>5</vt:i4>
      </vt:variant>
      <vt:variant>
        <vt:lpwstr/>
      </vt:variant>
      <vt:variant>
        <vt:lpwstr>Seif0</vt:lpwstr>
      </vt:variant>
      <vt:variant>
        <vt:i4>5570569</vt:i4>
      </vt:variant>
      <vt:variant>
        <vt:i4>3</vt:i4>
      </vt:variant>
      <vt:variant>
        <vt:i4>0</vt:i4>
      </vt:variant>
      <vt:variant>
        <vt:i4>5</vt:i4>
      </vt:variant>
      <vt:variant>
        <vt:lpwstr/>
      </vt:variant>
      <vt:variant>
        <vt:lpwstr>med0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183</dc:title>
  <dc:subject/>
  <dc:creator>eli</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0183</vt:lpwstr>
  </property>
  <property fmtid="{D5CDD505-2E9C-101B-9397-08002B2CF9AE}" pid="3" name="CHNAME">
    <vt:lpwstr>כבאות</vt:lpwstr>
  </property>
  <property fmtid="{D5CDD505-2E9C-101B-9397-08002B2CF9AE}" pid="4" name="LAWNAME">
    <vt:lpwstr>תקנות שירותי הכבאות (ציוד כיבוי בבתי ספר), תשל"ב–1972</vt:lpwstr>
  </property>
  <property fmtid="{D5CDD505-2E9C-101B-9397-08002B2CF9AE}" pid="5" name="LAWNUMBER">
    <vt:lpwstr>0013</vt:lpwstr>
  </property>
  <property fmtid="{D5CDD505-2E9C-101B-9397-08002B2CF9AE}" pid="6" name="TYPE">
    <vt:lpwstr>01</vt:lpwstr>
  </property>
  <property fmtid="{D5CDD505-2E9C-101B-9397-08002B2CF9AE}" pid="7" name="NOSE11">
    <vt:lpwstr>בטחון</vt:lpwstr>
  </property>
  <property fmtid="{D5CDD505-2E9C-101B-9397-08002B2CF9AE}" pid="8" name="NOSE21">
    <vt:lpwstr>כבאות</vt:lpwstr>
  </property>
  <property fmtid="{D5CDD505-2E9C-101B-9397-08002B2CF9AE}" pid="9" name="NOSE31">
    <vt:lpwstr>ציוד כיבוי</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חינוך</vt:lpwstr>
  </property>
  <property fmtid="{D5CDD505-2E9C-101B-9397-08002B2CF9AE}" pid="13" name="NOSE32">
    <vt:lpwstr>בתי ספר</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שירותי הכבאות</vt:lpwstr>
  </property>
  <property fmtid="{D5CDD505-2E9C-101B-9397-08002B2CF9AE}" pid="48" name="MEKOR_SAIF1">
    <vt:lpwstr>6X</vt:lpwstr>
  </property>
</Properties>
</file>