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6134" w:rsidRDefault="00AF6134" w:rsidP="00F80955">
      <w:pPr>
        <w:pStyle w:val="big-header"/>
        <w:ind w:left="0" w:right="1134"/>
        <w:rPr>
          <w:rFonts w:cs="FrankRuehl" w:hint="cs"/>
          <w:sz w:val="32"/>
          <w:rtl/>
        </w:rPr>
      </w:pPr>
      <w:r>
        <w:rPr>
          <w:rFonts w:cs="FrankRuehl"/>
          <w:sz w:val="32"/>
          <w:rtl/>
        </w:rPr>
        <w:t>תקנות שירותי הסעד (סדרי הנוהל בועדות ערר), תשכ"ו</w:t>
      </w:r>
      <w:r w:rsidR="00F80955">
        <w:rPr>
          <w:rFonts w:cs="FrankRuehl" w:hint="cs"/>
          <w:sz w:val="32"/>
          <w:rtl/>
        </w:rPr>
        <w:t>-</w:t>
      </w:r>
      <w:r>
        <w:rPr>
          <w:rFonts w:cs="FrankRuehl"/>
          <w:sz w:val="32"/>
          <w:rtl/>
        </w:rPr>
        <w:t>1965</w:t>
      </w:r>
    </w:p>
    <w:p w:rsidR="008872C1" w:rsidRPr="008872C1" w:rsidRDefault="008872C1" w:rsidP="008872C1">
      <w:pPr>
        <w:spacing w:line="320" w:lineRule="auto"/>
        <w:jc w:val="left"/>
        <w:rPr>
          <w:rFonts w:cs="FrankRuehl"/>
          <w:szCs w:val="26"/>
          <w:rtl/>
        </w:rPr>
      </w:pPr>
    </w:p>
    <w:p w:rsidR="008872C1" w:rsidRDefault="008872C1" w:rsidP="008872C1">
      <w:pPr>
        <w:spacing w:line="320" w:lineRule="auto"/>
        <w:jc w:val="left"/>
        <w:rPr>
          <w:rFonts w:cs="Miriam"/>
          <w:szCs w:val="22"/>
          <w:rtl/>
        </w:rPr>
      </w:pPr>
      <w:r w:rsidRPr="008872C1">
        <w:rPr>
          <w:rFonts w:cs="Miriam"/>
          <w:szCs w:val="22"/>
          <w:rtl/>
        </w:rPr>
        <w:t>בריאות</w:t>
      </w:r>
      <w:r w:rsidRPr="008872C1">
        <w:rPr>
          <w:rFonts w:cs="FrankRuehl"/>
          <w:szCs w:val="26"/>
          <w:rtl/>
        </w:rPr>
        <w:t xml:space="preserve"> – שרותי רווחה – סעד</w:t>
      </w:r>
    </w:p>
    <w:p w:rsidR="005B28E9" w:rsidRPr="008872C1" w:rsidRDefault="008872C1" w:rsidP="008872C1">
      <w:pPr>
        <w:spacing w:line="320" w:lineRule="auto"/>
        <w:jc w:val="left"/>
        <w:rPr>
          <w:rFonts w:cs="Miriam"/>
          <w:szCs w:val="22"/>
          <w:rtl/>
        </w:rPr>
      </w:pPr>
      <w:r w:rsidRPr="008872C1">
        <w:rPr>
          <w:rFonts w:cs="Miriam"/>
          <w:szCs w:val="22"/>
          <w:rtl/>
        </w:rPr>
        <w:t>רשויות ומשפט מנהלי</w:t>
      </w:r>
      <w:r w:rsidRPr="008872C1">
        <w:rPr>
          <w:rFonts w:cs="FrankRuehl"/>
          <w:szCs w:val="26"/>
          <w:rtl/>
        </w:rPr>
        <w:t xml:space="preserve"> – שרותי רווחה – סעד</w:t>
      </w:r>
    </w:p>
    <w:p w:rsidR="00AF6134" w:rsidRDefault="00AF6134">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F6134">
        <w:tblPrEx>
          <w:tblCellMar>
            <w:top w:w="0" w:type="dxa"/>
            <w:bottom w:w="0" w:type="dxa"/>
          </w:tblCellMar>
        </w:tblPrEx>
        <w:tc>
          <w:tcPr>
            <w:tcW w:w="850" w:type="dxa"/>
          </w:tcPr>
          <w:p w:rsidR="00AF6134" w:rsidRDefault="00AF6134">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F80955">
              <w:rPr>
                <w:noProof/>
                <w:sz w:val="24"/>
                <w:rtl/>
              </w:rPr>
              <w:t>2</w:t>
            </w:r>
            <w:r>
              <w:rPr>
                <w:sz w:val="24"/>
                <w:rtl/>
              </w:rPr>
              <w:fldChar w:fldCharType="end"/>
            </w:r>
          </w:p>
        </w:tc>
        <w:tc>
          <w:tcPr>
            <w:tcW w:w="567" w:type="dxa"/>
          </w:tcPr>
          <w:p w:rsidR="00AF6134" w:rsidRDefault="00AF6134">
            <w:pPr>
              <w:spacing w:line="240" w:lineRule="auto"/>
              <w:rPr>
                <w:sz w:val="24"/>
              </w:rPr>
            </w:pPr>
            <w:hyperlink w:anchor="Seif0" w:tooltip="הגדרות" w:history="1">
              <w:r>
                <w:rPr>
                  <w:rStyle w:val="Hyperlink"/>
                </w:rPr>
                <w:t>Go</w:t>
              </w:r>
            </w:hyperlink>
          </w:p>
        </w:tc>
        <w:tc>
          <w:tcPr>
            <w:tcW w:w="5669" w:type="dxa"/>
          </w:tcPr>
          <w:p w:rsidR="00AF6134" w:rsidRDefault="00AF6134">
            <w:pPr>
              <w:spacing w:line="240" w:lineRule="auto"/>
              <w:rPr>
                <w:sz w:val="24"/>
                <w:rtl/>
              </w:rPr>
            </w:pPr>
            <w:r>
              <w:rPr>
                <w:sz w:val="24"/>
                <w:rtl/>
              </w:rPr>
              <w:t>הגדרות</w:t>
            </w:r>
          </w:p>
        </w:tc>
        <w:tc>
          <w:tcPr>
            <w:tcW w:w="1247" w:type="dxa"/>
          </w:tcPr>
          <w:p w:rsidR="00AF6134" w:rsidRDefault="00AF6134">
            <w:pPr>
              <w:spacing w:line="240" w:lineRule="auto"/>
              <w:rPr>
                <w:sz w:val="24"/>
              </w:rPr>
            </w:pPr>
            <w:r>
              <w:rPr>
                <w:sz w:val="24"/>
                <w:rtl/>
              </w:rPr>
              <w:t xml:space="preserve">סעיף 1 </w:t>
            </w:r>
          </w:p>
        </w:tc>
      </w:tr>
      <w:tr w:rsidR="00AF6134">
        <w:tblPrEx>
          <w:tblCellMar>
            <w:top w:w="0" w:type="dxa"/>
            <w:bottom w:w="0" w:type="dxa"/>
          </w:tblCellMar>
        </w:tblPrEx>
        <w:tc>
          <w:tcPr>
            <w:tcW w:w="850" w:type="dxa"/>
          </w:tcPr>
          <w:p w:rsidR="00AF6134" w:rsidRDefault="00AF6134">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F80955">
              <w:rPr>
                <w:noProof/>
                <w:sz w:val="24"/>
                <w:rtl/>
              </w:rPr>
              <w:t>2</w:t>
            </w:r>
            <w:r>
              <w:rPr>
                <w:sz w:val="24"/>
                <w:rtl/>
              </w:rPr>
              <w:fldChar w:fldCharType="end"/>
            </w:r>
          </w:p>
        </w:tc>
        <w:tc>
          <w:tcPr>
            <w:tcW w:w="567" w:type="dxa"/>
          </w:tcPr>
          <w:p w:rsidR="00AF6134" w:rsidRDefault="00AF6134">
            <w:pPr>
              <w:spacing w:line="240" w:lineRule="auto"/>
              <w:rPr>
                <w:sz w:val="24"/>
              </w:rPr>
            </w:pPr>
            <w:hyperlink w:anchor="Seif1" w:tooltip="בחירת יושב הראש" w:history="1">
              <w:r>
                <w:rPr>
                  <w:rStyle w:val="Hyperlink"/>
                </w:rPr>
                <w:t>Go</w:t>
              </w:r>
            </w:hyperlink>
          </w:p>
        </w:tc>
        <w:tc>
          <w:tcPr>
            <w:tcW w:w="5669" w:type="dxa"/>
          </w:tcPr>
          <w:p w:rsidR="00AF6134" w:rsidRDefault="00AF6134">
            <w:pPr>
              <w:spacing w:line="240" w:lineRule="auto"/>
              <w:rPr>
                <w:sz w:val="24"/>
                <w:rtl/>
              </w:rPr>
            </w:pPr>
            <w:r>
              <w:rPr>
                <w:sz w:val="24"/>
                <w:rtl/>
              </w:rPr>
              <w:t>בחירת יושב הראש</w:t>
            </w:r>
          </w:p>
        </w:tc>
        <w:tc>
          <w:tcPr>
            <w:tcW w:w="1247" w:type="dxa"/>
          </w:tcPr>
          <w:p w:rsidR="00AF6134" w:rsidRDefault="00AF6134">
            <w:pPr>
              <w:spacing w:line="240" w:lineRule="auto"/>
              <w:rPr>
                <w:sz w:val="24"/>
              </w:rPr>
            </w:pPr>
            <w:r>
              <w:rPr>
                <w:sz w:val="24"/>
                <w:rtl/>
              </w:rPr>
              <w:t xml:space="preserve">סעיף 2 </w:t>
            </w:r>
          </w:p>
        </w:tc>
      </w:tr>
      <w:tr w:rsidR="00AF6134">
        <w:tblPrEx>
          <w:tblCellMar>
            <w:top w:w="0" w:type="dxa"/>
            <w:bottom w:w="0" w:type="dxa"/>
          </w:tblCellMar>
        </w:tblPrEx>
        <w:tc>
          <w:tcPr>
            <w:tcW w:w="850" w:type="dxa"/>
          </w:tcPr>
          <w:p w:rsidR="00AF6134" w:rsidRDefault="00AF6134">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F80955">
              <w:rPr>
                <w:noProof/>
                <w:sz w:val="24"/>
                <w:rtl/>
              </w:rPr>
              <w:t>2</w:t>
            </w:r>
            <w:r>
              <w:rPr>
                <w:sz w:val="24"/>
                <w:rtl/>
              </w:rPr>
              <w:fldChar w:fldCharType="end"/>
            </w:r>
          </w:p>
        </w:tc>
        <w:tc>
          <w:tcPr>
            <w:tcW w:w="567" w:type="dxa"/>
          </w:tcPr>
          <w:p w:rsidR="00AF6134" w:rsidRDefault="00AF6134">
            <w:pPr>
              <w:spacing w:line="240" w:lineRule="auto"/>
              <w:rPr>
                <w:sz w:val="24"/>
              </w:rPr>
            </w:pPr>
            <w:hyperlink w:anchor="Seif2" w:tooltip="הגשת ערר" w:history="1">
              <w:r>
                <w:rPr>
                  <w:rStyle w:val="Hyperlink"/>
                </w:rPr>
                <w:t>Go</w:t>
              </w:r>
            </w:hyperlink>
          </w:p>
        </w:tc>
        <w:tc>
          <w:tcPr>
            <w:tcW w:w="5669" w:type="dxa"/>
          </w:tcPr>
          <w:p w:rsidR="00AF6134" w:rsidRDefault="00AF6134">
            <w:pPr>
              <w:spacing w:line="240" w:lineRule="auto"/>
              <w:rPr>
                <w:sz w:val="24"/>
                <w:rtl/>
              </w:rPr>
            </w:pPr>
            <w:r>
              <w:rPr>
                <w:sz w:val="24"/>
                <w:rtl/>
              </w:rPr>
              <w:t>הגשת ערר</w:t>
            </w:r>
          </w:p>
        </w:tc>
        <w:tc>
          <w:tcPr>
            <w:tcW w:w="1247" w:type="dxa"/>
          </w:tcPr>
          <w:p w:rsidR="00AF6134" w:rsidRDefault="00AF6134">
            <w:pPr>
              <w:spacing w:line="240" w:lineRule="auto"/>
              <w:rPr>
                <w:sz w:val="24"/>
              </w:rPr>
            </w:pPr>
            <w:r>
              <w:rPr>
                <w:sz w:val="24"/>
                <w:rtl/>
              </w:rPr>
              <w:t xml:space="preserve">סעיף 3 </w:t>
            </w:r>
          </w:p>
        </w:tc>
      </w:tr>
      <w:tr w:rsidR="00AF6134">
        <w:tblPrEx>
          <w:tblCellMar>
            <w:top w:w="0" w:type="dxa"/>
            <w:bottom w:w="0" w:type="dxa"/>
          </w:tblCellMar>
        </w:tblPrEx>
        <w:tc>
          <w:tcPr>
            <w:tcW w:w="850" w:type="dxa"/>
          </w:tcPr>
          <w:p w:rsidR="00AF6134" w:rsidRDefault="00AF6134">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F80955">
              <w:rPr>
                <w:noProof/>
                <w:sz w:val="24"/>
                <w:rtl/>
              </w:rPr>
              <w:t>2</w:t>
            </w:r>
            <w:r>
              <w:rPr>
                <w:sz w:val="24"/>
                <w:rtl/>
              </w:rPr>
              <w:fldChar w:fldCharType="end"/>
            </w:r>
          </w:p>
        </w:tc>
        <w:tc>
          <w:tcPr>
            <w:tcW w:w="567" w:type="dxa"/>
          </w:tcPr>
          <w:p w:rsidR="00AF6134" w:rsidRDefault="00AF6134">
            <w:pPr>
              <w:spacing w:line="240" w:lineRule="auto"/>
              <w:rPr>
                <w:sz w:val="24"/>
              </w:rPr>
            </w:pPr>
            <w:hyperlink w:anchor="Seif3" w:tooltip="הופעת בעלי הדין" w:history="1">
              <w:r>
                <w:rPr>
                  <w:rStyle w:val="Hyperlink"/>
                </w:rPr>
                <w:t>Go</w:t>
              </w:r>
            </w:hyperlink>
          </w:p>
        </w:tc>
        <w:tc>
          <w:tcPr>
            <w:tcW w:w="5669" w:type="dxa"/>
          </w:tcPr>
          <w:p w:rsidR="00AF6134" w:rsidRDefault="00AF6134">
            <w:pPr>
              <w:spacing w:line="240" w:lineRule="auto"/>
              <w:rPr>
                <w:sz w:val="24"/>
                <w:rtl/>
              </w:rPr>
            </w:pPr>
            <w:r>
              <w:rPr>
                <w:sz w:val="24"/>
                <w:rtl/>
              </w:rPr>
              <w:t>הופעת בעלי הדין</w:t>
            </w:r>
          </w:p>
        </w:tc>
        <w:tc>
          <w:tcPr>
            <w:tcW w:w="1247" w:type="dxa"/>
          </w:tcPr>
          <w:p w:rsidR="00AF6134" w:rsidRDefault="00AF6134">
            <w:pPr>
              <w:spacing w:line="240" w:lineRule="auto"/>
              <w:rPr>
                <w:sz w:val="24"/>
              </w:rPr>
            </w:pPr>
            <w:r>
              <w:rPr>
                <w:sz w:val="24"/>
                <w:rtl/>
              </w:rPr>
              <w:t xml:space="preserve">סעיף 4 </w:t>
            </w:r>
          </w:p>
        </w:tc>
      </w:tr>
      <w:tr w:rsidR="00AF6134">
        <w:tblPrEx>
          <w:tblCellMar>
            <w:top w:w="0" w:type="dxa"/>
            <w:bottom w:w="0" w:type="dxa"/>
          </w:tblCellMar>
        </w:tblPrEx>
        <w:tc>
          <w:tcPr>
            <w:tcW w:w="850" w:type="dxa"/>
          </w:tcPr>
          <w:p w:rsidR="00AF6134" w:rsidRDefault="00AF6134">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F80955">
              <w:rPr>
                <w:noProof/>
                <w:sz w:val="24"/>
                <w:rtl/>
              </w:rPr>
              <w:t>2</w:t>
            </w:r>
            <w:r>
              <w:rPr>
                <w:sz w:val="24"/>
                <w:rtl/>
              </w:rPr>
              <w:fldChar w:fldCharType="end"/>
            </w:r>
          </w:p>
        </w:tc>
        <w:tc>
          <w:tcPr>
            <w:tcW w:w="567" w:type="dxa"/>
          </w:tcPr>
          <w:p w:rsidR="00AF6134" w:rsidRDefault="00AF6134">
            <w:pPr>
              <w:spacing w:line="240" w:lineRule="auto"/>
              <w:rPr>
                <w:sz w:val="24"/>
              </w:rPr>
            </w:pPr>
            <w:hyperlink w:anchor="Seif4" w:tooltip="העברת חומר לועדה" w:history="1">
              <w:r>
                <w:rPr>
                  <w:rStyle w:val="Hyperlink"/>
                </w:rPr>
                <w:t>Go</w:t>
              </w:r>
            </w:hyperlink>
          </w:p>
        </w:tc>
        <w:tc>
          <w:tcPr>
            <w:tcW w:w="5669" w:type="dxa"/>
          </w:tcPr>
          <w:p w:rsidR="00AF6134" w:rsidRDefault="00AF6134">
            <w:pPr>
              <w:spacing w:line="240" w:lineRule="auto"/>
              <w:rPr>
                <w:sz w:val="24"/>
                <w:rtl/>
              </w:rPr>
            </w:pPr>
            <w:r>
              <w:rPr>
                <w:sz w:val="24"/>
                <w:rtl/>
              </w:rPr>
              <w:t>העברת חומר לועדה</w:t>
            </w:r>
          </w:p>
        </w:tc>
        <w:tc>
          <w:tcPr>
            <w:tcW w:w="1247" w:type="dxa"/>
          </w:tcPr>
          <w:p w:rsidR="00AF6134" w:rsidRDefault="00AF6134">
            <w:pPr>
              <w:spacing w:line="240" w:lineRule="auto"/>
              <w:rPr>
                <w:sz w:val="24"/>
              </w:rPr>
            </w:pPr>
            <w:r>
              <w:rPr>
                <w:sz w:val="24"/>
                <w:rtl/>
              </w:rPr>
              <w:t xml:space="preserve">סעיף 5 </w:t>
            </w:r>
          </w:p>
        </w:tc>
      </w:tr>
      <w:tr w:rsidR="00AF6134">
        <w:tblPrEx>
          <w:tblCellMar>
            <w:top w:w="0" w:type="dxa"/>
            <w:bottom w:w="0" w:type="dxa"/>
          </w:tblCellMar>
        </w:tblPrEx>
        <w:tc>
          <w:tcPr>
            <w:tcW w:w="850" w:type="dxa"/>
          </w:tcPr>
          <w:p w:rsidR="00AF6134" w:rsidRDefault="00AF6134">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F80955">
              <w:rPr>
                <w:noProof/>
                <w:sz w:val="24"/>
                <w:rtl/>
              </w:rPr>
              <w:t>2</w:t>
            </w:r>
            <w:r>
              <w:rPr>
                <w:sz w:val="24"/>
                <w:rtl/>
              </w:rPr>
              <w:fldChar w:fldCharType="end"/>
            </w:r>
          </w:p>
        </w:tc>
        <w:tc>
          <w:tcPr>
            <w:tcW w:w="567" w:type="dxa"/>
          </w:tcPr>
          <w:p w:rsidR="00AF6134" w:rsidRDefault="00AF6134">
            <w:pPr>
              <w:spacing w:line="240" w:lineRule="auto"/>
              <w:rPr>
                <w:sz w:val="24"/>
              </w:rPr>
            </w:pPr>
            <w:hyperlink w:anchor="Seif5" w:tooltip="פרוטוקול" w:history="1">
              <w:r>
                <w:rPr>
                  <w:rStyle w:val="Hyperlink"/>
                </w:rPr>
                <w:t>Go</w:t>
              </w:r>
            </w:hyperlink>
          </w:p>
        </w:tc>
        <w:tc>
          <w:tcPr>
            <w:tcW w:w="5669" w:type="dxa"/>
          </w:tcPr>
          <w:p w:rsidR="00AF6134" w:rsidRDefault="00AF6134">
            <w:pPr>
              <w:spacing w:line="240" w:lineRule="auto"/>
              <w:rPr>
                <w:sz w:val="24"/>
                <w:rtl/>
              </w:rPr>
            </w:pPr>
            <w:r>
              <w:rPr>
                <w:sz w:val="24"/>
                <w:rtl/>
              </w:rPr>
              <w:t>פרוטוקול</w:t>
            </w:r>
          </w:p>
        </w:tc>
        <w:tc>
          <w:tcPr>
            <w:tcW w:w="1247" w:type="dxa"/>
          </w:tcPr>
          <w:p w:rsidR="00AF6134" w:rsidRDefault="00AF6134">
            <w:pPr>
              <w:spacing w:line="240" w:lineRule="auto"/>
              <w:rPr>
                <w:sz w:val="24"/>
              </w:rPr>
            </w:pPr>
            <w:r>
              <w:rPr>
                <w:sz w:val="24"/>
                <w:rtl/>
              </w:rPr>
              <w:t xml:space="preserve">סעיף 6 </w:t>
            </w:r>
          </w:p>
        </w:tc>
      </w:tr>
      <w:tr w:rsidR="00AF6134">
        <w:tblPrEx>
          <w:tblCellMar>
            <w:top w:w="0" w:type="dxa"/>
            <w:bottom w:w="0" w:type="dxa"/>
          </w:tblCellMar>
        </w:tblPrEx>
        <w:tc>
          <w:tcPr>
            <w:tcW w:w="850" w:type="dxa"/>
          </w:tcPr>
          <w:p w:rsidR="00AF6134" w:rsidRDefault="00AF6134">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F80955">
              <w:rPr>
                <w:noProof/>
                <w:sz w:val="24"/>
                <w:rtl/>
              </w:rPr>
              <w:t>2</w:t>
            </w:r>
            <w:r>
              <w:rPr>
                <w:sz w:val="24"/>
                <w:rtl/>
              </w:rPr>
              <w:fldChar w:fldCharType="end"/>
            </w:r>
          </w:p>
        </w:tc>
        <w:tc>
          <w:tcPr>
            <w:tcW w:w="567" w:type="dxa"/>
          </w:tcPr>
          <w:p w:rsidR="00AF6134" w:rsidRDefault="00AF6134">
            <w:pPr>
              <w:spacing w:line="240" w:lineRule="auto"/>
              <w:rPr>
                <w:sz w:val="24"/>
              </w:rPr>
            </w:pPr>
            <w:hyperlink w:anchor="Seif6" w:tooltip="אי כבילות" w:history="1">
              <w:r>
                <w:rPr>
                  <w:rStyle w:val="Hyperlink"/>
                </w:rPr>
                <w:t>Go</w:t>
              </w:r>
            </w:hyperlink>
          </w:p>
        </w:tc>
        <w:tc>
          <w:tcPr>
            <w:tcW w:w="5669" w:type="dxa"/>
          </w:tcPr>
          <w:p w:rsidR="00AF6134" w:rsidRDefault="00AF6134">
            <w:pPr>
              <w:spacing w:line="240" w:lineRule="auto"/>
              <w:rPr>
                <w:sz w:val="24"/>
                <w:rtl/>
              </w:rPr>
            </w:pPr>
            <w:r>
              <w:rPr>
                <w:sz w:val="24"/>
                <w:rtl/>
              </w:rPr>
              <w:t>אי כבילות</w:t>
            </w:r>
          </w:p>
        </w:tc>
        <w:tc>
          <w:tcPr>
            <w:tcW w:w="1247" w:type="dxa"/>
          </w:tcPr>
          <w:p w:rsidR="00AF6134" w:rsidRDefault="00AF6134">
            <w:pPr>
              <w:spacing w:line="240" w:lineRule="auto"/>
              <w:rPr>
                <w:sz w:val="24"/>
              </w:rPr>
            </w:pPr>
            <w:r>
              <w:rPr>
                <w:sz w:val="24"/>
                <w:rtl/>
              </w:rPr>
              <w:t xml:space="preserve">סעיף 7 </w:t>
            </w:r>
          </w:p>
        </w:tc>
      </w:tr>
      <w:tr w:rsidR="00AF6134">
        <w:tblPrEx>
          <w:tblCellMar>
            <w:top w:w="0" w:type="dxa"/>
            <w:bottom w:w="0" w:type="dxa"/>
          </w:tblCellMar>
        </w:tblPrEx>
        <w:tc>
          <w:tcPr>
            <w:tcW w:w="850" w:type="dxa"/>
          </w:tcPr>
          <w:p w:rsidR="00AF6134" w:rsidRDefault="00AF6134">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F80955">
              <w:rPr>
                <w:noProof/>
                <w:sz w:val="24"/>
                <w:rtl/>
              </w:rPr>
              <w:t>2</w:t>
            </w:r>
            <w:r>
              <w:rPr>
                <w:sz w:val="24"/>
                <w:rtl/>
              </w:rPr>
              <w:fldChar w:fldCharType="end"/>
            </w:r>
          </w:p>
        </w:tc>
        <w:tc>
          <w:tcPr>
            <w:tcW w:w="567" w:type="dxa"/>
          </w:tcPr>
          <w:p w:rsidR="00AF6134" w:rsidRDefault="00AF6134">
            <w:pPr>
              <w:spacing w:line="240" w:lineRule="auto"/>
              <w:rPr>
                <w:sz w:val="24"/>
              </w:rPr>
            </w:pPr>
            <w:hyperlink w:anchor="Seif7" w:tooltip="שמירת הסדר" w:history="1">
              <w:r>
                <w:rPr>
                  <w:rStyle w:val="Hyperlink"/>
                </w:rPr>
                <w:t>Go</w:t>
              </w:r>
            </w:hyperlink>
          </w:p>
        </w:tc>
        <w:tc>
          <w:tcPr>
            <w:tcW w:w="5669" w:type="dxa"/>
          </w:tcPr>
          <w:p w:rsidR="00AF6134" w:rsidRDefault="00AF6134">
            <w:pPr>
              <w:spacing w:line="240" w:lineRule="auto"/>
              <w:rPr>
                <w:sz w:val="24"/>
                <w:rtl/>
              </w:rPr>
            </w:pPr>
            <w:r>
              <w:rPr>
                <w:sz w:val="24"/>
                <w:rtl/>
              </w:rPr>
              <w:t>שמירת הסדר</w:t>
            </w:r>
          </w:p>
        </w:tc>
        <w:tc>
          <w:tcPr>
            <w:tcW w:w="1247" w:type="dxa"/>
          </w:tcPr>
          <w:p w:rsidR="00AF6134" w:rsidRDefault="00AF6134">
            <w:pPr>
              <w:spacing w:line="240" w:lineRule="auto"/>
              <w:rPr>
                <w:sz w:val="24"/>
              </w:rPr>
            </w:pPr>
            <w:r>
              <w:rPr>
                <w:sz w:val="24"/>
                <w:rtl/>
              </w:rPr>
              <w:t xml:space="preserve">סעיף 8 </w:t>
            </w:r>
          </w:p>
        </w:tc>
      </w:tr>
      <w:tr w:rsidR="00AF6134">
        <w:tblPrEx>
          <w:tblCellMar>
            <w:top w:w="0" w:type="dxa"/>
            <w:bottom w:w="0" w:type="dxa"/>
          </w:tblCellMar>
        </w:tblPrEx>
        <w:tc>
          <w:tcPr>
            <w:tcW w:w="850" w:type="dxa"/>
          </w:tcPr>
          <w:p w:rsidR="00AF6134" w:rsidRDefault="00AF6134">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F80955">
              <w:rPr>
                <w:noProof/>
                <w:sz w:val="24"/>
                <w:rtl/>
              </w:rPr>
              <w:t>2</w:t>
            </w:r>
            <w:r>
              <w:rPr>
                <w:sz w:val="24"/>
                <w:rtl/>
              </w:rPr>
              <w:fldChar w:fldCharType="end"/>
            </w:r>
          </w:p>
        </w:tc>
        <w:tc>
          <w:tcPr>
            <w:tcW w:w="567" w:type="dxa"/>
          </w:tcPr>
          <w:p w:rsidR="00AF6134" w:rsidRDefault="00AF6134">
            <w:pPr>
              <w:spacing w:line="240" w:lineRule="auto"/>
              <w:rPr>
                <w:sz w:val="24"/>
              </w:rPr>
            </w:pPr>
            <w:hyperlink w:anchor="Seif8" w:tooltip="החלטות ברוב דעות" w:history="1">
              <w:r>
                <w:rPr>
                  <w:rStyle w:val="Hyperlink"/>
                </w:rPr>
                <w:t>Go</w:t>
              </w:r>
            </w:hyperlink>
          </w:p>
        </w:tc>
        <w:tc>
          <w:tcPr>
            <w:tcW w:w="5669" w:type="dxa"/>
          </w:tcPr>
          <w:p w:rsidR="00AF6134" w:rsidRDefault="00AF6134">
            <w:pPr>
              <w:spacing w:line="240" w:lineRule="auto"/>
              <w:rPr>
                <w:sz w:val="24"/>
                <w:rtl/>
              </w:rPr>
            </w:pPr>
            <w:r>
              <w:rPr>
                <w:sz w:val="24"/>
                <w:rtl/>
              </w:rPr>
              <w:t>החלטות ברוב דעות</w:t>
            </w:r>
          </w:p>
        </w:tc>
        <w:tc>
          <w:tcPr>
            <w:tcW w:w="1247" w:type="dxa"/>
          </w:tcPr>
          <w:p w:rsidR="00AF6134" w:rsidRDefault="00AF6134">
            <w:pPr>
              <w:spacing w:line="240" w:lineRule="auto"/>
              <w:rPr>
                <w:sz w:val="24"/>
              </w:rPr>
            </w:pPr>
            <w:r>
              <w:rPr>
                <w:sz w:val="24"/>
                <w:rtl/>
              </w:rPr>
              <w:t xml:space="preserve">סעיף 9 </w:t>
            </w:r>
          </w:p>
        </w:tc>
      </w:tr>
      <w:tr w:rsidR="00AF6134">
        <w:tblPrEx>
          <w:tblCellMar>
            <w:top w:w="0" w:type="dxa"/>
            <w:bottom w:w="0" w:type="dxa"/>
          </w:tblCellMar>
        </w:tblPrEx>
        <w:tc>
          <w:tcPr>
            <w:tcW w:w="850" w:type="dxa"/>
          </w:tcPr>
          <w:p w:rsidR="00AF6134" w:rsidRDefault="00AF6134">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F80955">
              <w:rPr>
                <w:noProof/>
                <w:sz w:val="24"/>
                <w:rtl/>
              </w:rPr>
              <w:t>2</w:t>
            </w:r>
            <w:r>
              <w:rPr>
                <w:sz w:val="24"/>
                <w:rtl/>
              </w:rPr>
              <w:fldChar w:fldCharType="end"/>
            </w:r>
          </w:p>
        </w:tc>
        <w:tc>
          <w:tcPr>
            <w:tcW w:w="567" w:type="dxa"/>
          </w:tcPr>
          <w:p w:rsidR="00AF6134" w:rsidRDefault="00AF6134">
            <w:pPr>
              <w:spacing w:line="240" w:lineRule="auto"/>
              <w:rPr>
                <w:sz w:val="24"/>
              </w:rPr>
            </w:pPr>
            <w:hyperlink w:anchor="Seif9" w:tooltip="מועד" w:history="1">
              <w:r>
                <w:rPr>
                  <w:rStyle w:val="Hyperlink"/>
                </w:rPr>
                <w:t>Go</w:t>
              </w:r>
            </w:hyperlink>
          </w:p>
        </w:tc>
        <w:tc>
          <w:tcPr>
            <w:tcW w:w="5669" w:type="dxa"/>
          </w:tcPr>
          <w:p w:rsidR="00AF6134" w:rsidRDefault="00AF6134">
            <w:pPr>
              <w:spacing w:line="240" w:lineRule="auto"/>
              <w:rPr>
                <w:sz w:val="24"/>
                <w:rtl/>
              </w:rPr>
            </w:pPr>
            <w:r>
              <w:rPr>
                <w:sz w:val="24"/>
                <w:rtl/>
              </w:rPr>
              <w:t>מועד</w:t>
            </w:r>
          </w:p>
        </w:tc>
        <w:tc>
          <w:tcPr>
            <w:tcW w:w="1247" w:type="dxa"/>
          </w:tcPr>
          <w:p w:rsidR="00AF6134" w:rsidRDefault="00AF6134">
            <w:pPr>
              <w:spacing w:line="240" w:lineRule="auto"/>
              <w:rPr>
                <w:sz w:val="24"/>
              </w:rPr>
            </w:pPr>
            <w:r>
              <w:rPr>
                <w:sz w:val="24"/>
                <w:rtl/>
              </w:rPr>
              <w:t xml:space="preserve">סעיף 10 </w:t>
            </w:r>
          </w:p>
        </w:tc>
      </w:tr>
      <w:tr w:rsidR="00AF6134">
        <w:tblPrEx>
          <w:tblCellMar>
            <w:top w:w="0" w:type="dxa"/>
            <w:bottom w:w="0" w:type="dxa"/>
          </w:tblCellMar>
        </w:tblPrEx>
        <w:tc>
          <w:tcPr>
            <w:tcW w:w="850" w:type="dxa"/>
          </w:tcPr>
          <w:p w:rsidR="00AF6134" w:rsidRDefault="00AF6134">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F80955">
              <w:rPr>
                <w:noProof/>
                <w:sz w:val="24"/>
                <w:rtl/>
              </w:rPr>
              <w:t>3</w:t>
            </w:r>
            <w:r>
              <w:rPr>
                <w:sz w:val="24"/>
                <w:rtl/>
              </w:rPr>
              <w:fldChar w:fldCharType="end"/>
            </w:r>
          </w:p>
        </w:tc>
        <w:tc>
          <w:tcPr>
            <w:tcW w:w="567" w:type="dxa"/>
          </w:tcPr>
          <w:p w:rsidR="00AF6134" w:rsidRDefault="00AF6134">
            <w:pPr>
              <w:spacing w:line="240" w:lineRule="auto"/>
              <w:rPr>
                <w:sz w:val="24"/>
              </w:rPr>
            </w:pPr>
            <w:hyperlink w:anchor="Seif10" w:tooltip="מתן החלטה" w:history="1">
              <w:r>
                <w:rPr>
                  <w:rStyle w:val="Hyperlink"/>
                </w:rPr>
                <w:t>Go</w:t>
              </w:r>
            </w:hyperlink>
          </w:p>
        </w:tc>
        <w:tc>
          <w:tcPr>
            <w:tcW w:w="5669" w:type="dxa"/>
          </w:tcPr>
          <w:p w:rsidR="00AF6134" w:rsidRDefault="00AF6134">
            <w:pPr>
              <w:spacing w:line="240" w:lineRule="auto"/>
              <w:rPr>
                <w:sz w:val="24"/>
                <w:rtl/>
              </w:rPr>
            </w:pPr>
            <w:r>
              <w:rPr>
                <w:sz w:val="24"/>
                <w:rtl/>
              </w:rPr>
              <w:t>מתן החלטה</w:t>
            </w:r>
          </w:p>
        </w:tc>
        <w:tc>
          <w:tcPr>
            <w:tcW w:w="1247" w:type="dxa"/>
          </w:tcPr>
          <w:p w:rsidR="00AF6134" w:rsidRDefault="00AF6134">
            <w:pPr>
              <w:spacing w:line="240" w:lineRule="auto"/>
              <w:rPr>
                <w:sz w:val="24"/>
              </w:rPr>
            </w:pPr>
            <w:r>
              <w:rPr>
                <w:sz w:val="24"/>
                <w:rtl/>
              </w:rPr>
              <w:t xml:space="preserve">סעיף 11 </w:t>
            </w:r>
          </w:p>
        </w:tc>
      </w:tr>
      <w:tr w:rsidR="00AF6134">
        <w:tblPrEx>
          <w:tblCellMar>
            <w:top w:w="0" w:type="dxa"/>
            <w:bottom w:w="0" w:type="dxa"/>
          </w:tblCellMar>
        </w:tblPrEx>
        <w:tc>
          <w:tcPr>
            <w:tcW w:w="850" w:type="dxa"/>
          </w:tcPr>
          <w:p w:rsidR="00AF6134" w:rsidRDefault="00AF6134">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F80955">
              <w:rPr>
                <w:noProof/>
                <w:sz w:val="24"/>
                <w:rtl/>
              </w:rPr>
              <w:t>3</w:t>
            </w:r>
            <w:r>
              <w:rPr>
                <w:sz w:val="24"/>
                <w:rtl/>
              </w:rPr>
              <w:fldChar w:fldCharType="end"/>
            </w:r>
          </w:p>
        </w:tc>
        <w:tc>
          <w:tcPr>
            <w:tcW w:w="567" w:type="dxa"/>
          </w:tcPr>
          <w:p w:rsidR="00AF6134" w:rsidRDefault="00AF6134">
            <w:pPr>
              <w:spacing w:line="240" w:lineRule="auto"/>
              <w:rPr>
                <w:sz w:val="24"/>
              </w:rPr>
            </w:pPr>
            <w:hyperlink w:anchor="Seif11" w:tooltip="סופיות" w:history="1">
              <w:r>
                <w:rPr>
                  <w:rStyle w:val="Hyperlink"/>
                </w:rPr>
                <w:t>Go</w:t>
              </w:r>
            </w:hyperlink>
          </w:p>
        </w:tc>
        <w:tc>
          <w:tcPr>
            <w:tcW w:w="5669" w:type="dxa"/>
          </w:tcPr>
          <w:p w:rsidR="00AF6134" w:rsidRDefault="00AF6134">
            <w:pPr>
              <w:spacing w:line="240" w:lineRule="auto"/>
              <w:rPr>
                <w:sz w:val="24"/>
                <w:rtl/>
              </w:rPr>
            </w:pPr>
            <w:r>
              <w:rPr>
                <w:sz w:val="24"/>
                <w:rtl/>
              </w:rPr>
              <w:t>סופיות</w:t>
            </w:r>
          </w:p>
        </w:tc>
        <w:tc>
          <w:tcPr>
            <w:tcW w:w="1247" w:type="dxa"/>
          </w:tcPr>
          <w:p w:rsidR="00AF6134" w:rsidRDefault="00AF6134">
            <w:pPr>
              <w:spacing w:line="240" w:lineRule="auto"/>
              <w:rPr>
                <w:sz w:val="24"/>
              </w:rPr>
            </w:pPr>
            <w:r>
              <w:rPr>
                <w:sz w:val="24"/>
                <w:rtl/>
              </w:rPr>
              <w:t xml:space="preserve">סעיף 12 </w:t>
            </w:r>
          </w:p>
        </w:tc>
      </w:tr>
      <w:tr w:rsidR="00AF6134">
        <w:tblPrEx>
          <w:tblCellMar>
            <w:top w:w="0" w:type="dxa"/>
            <w:bottom w:w="0" w:type="dxa"/>
          </w:tblCellMar>
        </w:tblPrEx>
        <w:tc>
          <w:tcPr>
            <w:tcW w:w="850" w:type="dxa"/>
          </w:tcPr>
          <w:p w:rsidR="00AF6134" w:rsidRDefault="00AF6134">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F80955">
              <w:rPr>
                <w:noProof/>
                <w:sz w:val="24"/>
                <w:rtl/>
              </w:rPr>
              <w:t>3</w:t>
            </w:r>
            <w:r>
              <w:rPr>
                <w:sz w:val="24"/>
                <w:rtl/>
              </w:rPr>
              <w:fldChar w:fldCharType="end"/>
            </w:r>
          </w:p>
        </w:tc>
        <w:tc>
          <w:tcPr>
            <w:tcW w:w="567" w:type="dxa"/>
          </w:tcPr>
          <w:p w:rsidR="00AF6134" w:rsidRDefault="00AF6134">
            <w:pPr>
              <w:spacing w:line="240" w:lineRule="auto"/>
              <w:rPr>
                <w:sz w:val="24"/>
              </w:rPr>
            </w:pPr>
            <w:hyperlink w:anchor="Seif12" w:tooltip="סודיות" w:history="1">
              <w:r>
                <w:rPr>
                  <w:rStyle w:val="Hyperlink"/>
                </w:rPr>
                <w:t>Go</w:t>
              </w:r>
            </w:hyperlink>
          </w:p>
        </w:tc>
        <w:tc>
          <w:tcPr>
            <w:tcW w:w="5669" w:type="dxa"/>
          </w:tcPr>
          <w:p w:rsidR="00AF6134" w:rsidRDefault="00AF6134">
            <w:pPr>
              <w:spacing w:line="240" w:lineRule="auto"/>
              <w:rPr>
                <w:sz w:val="24"/>
                <w:rtl/>
              </w:rPr>
            </w:pPr>
            <w:r>
              <w:rPr>
                <w:sz w:val="24"/>
                <w:rtl/>
              </w:rPr>
              <w:t>סודיות</w:t>
            </w:r>
          </w:p>
        </w:tc>
        <w:tc>
          <w:tcPr>
            <w:tcW w:w="1247" w:type="dxa"/>
          </w:tcPr>
          <w:p w:rsidR="00AF6134" w:rsidRDefault="00AF6134">
            <w:pPr>
              <w:spacing w:line="240" w:lineRule="auto"/>
              <w:rPr>
                <w:sz w:val="24"/>
              </w:rPr>
            </w:pPr>
            <w:r>
              <w:rPr>
                <w:sz w:val="24"/>
                <w:rtl/>
              </w:rPr>
              <w:t xml:space="preserve">סעיף 13 </w:t>
            </w:r>
          </w:p>
        </w:tc>
      </w:tr>
      <w:tr w:rsidR="00AF6134">
        <w:tblPrEx>
          <w:tblCellMar>
            <w:top w:w="0" w:type="dxa"/>
            <w:bottom w:w="0" w:type="dxa"/>
          </w:tblCellMar>
        </w:tblPrEx>
        <w:tc>
          <w:tcPr>
            <w:tcW w:w="850" w:type="dxa"/>
          </w:tcPr>
          <w:p w:rsidR="00AF6134" w:rsidRDefault="00AF6134">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F80955">
              <w:rPr>
                <w:noProof/>
                <w:sz w:val="24"/>
                <w:rtl/>
              </w:rPr>
              <w:t>3</w:t>
            </w:r>
            <w:r>
              <w:rPr>
                <w:sz w:val="24"/>
                <w:rtl/>
              </w:rPr>
              <w:fldChar w:fldCharType="end"/>
            </w:r>
          </w:p>
        </w:tc>
        <w:tc>
          <w:tcPr>
            <w:tcW w:w="567" w:type="dxa"/>
          </w:tcPr>
          <w:p w:rsidR="00AF6134" w:rsidRDefault="00AF6134">
            <w:pPr>
              <w:spacing w:line="240" w:lineRule="auto"/>
              <w:rPr>
                <w:sz w:val="24"/>
              </w:rPr>
            </w:pPr>
            <w:hyperlink w:anchor="Seif13" w:tooltip="השם" w:history="1">
              <w:r>
                <w:rPr>
                  <w:rStyle w:val="Hyperlink"/>
                </w:rPr>
                <w:t>Go</w:t>
              </w:r>
            </w:hyperlink>
          </w:p>
        </w:tc>
        <w:tc>
          <w:tcPr>
            <w:tcW w:w="5669" w:type="dxa"/>
          </w:tcPr>
          <w:p w:rsidR="00AF6134" w:rsidRDefault="00AF6134">
            <w:pPr>
              <w:spacing w:line="240" w:lineRule="auto"/>
              <w:rPr>
                <w:sz w:val="24"/>
                <w:rtl/>
              </w:rPr>
            </w:pPr>
            <w:r>
              <w:rPr>
                <w:sz w:val="24"/>
                <w:rtl/>
              </w:rPr>
              <w:t>השם</w:t>
            </w:r>
          </w:p>
        </w:tc>
        <w:tc>
          <w:tcPr>
            <w:tcW w:w="1247" w:type="dxa"/>
          </w:tcPr>
          <w:p w:rsidR="00AF6134" w:rsidRDefault="00AF6134">
            <w:pPr>
              <w:spacing w:line="240" w:lineRule="auto"/>
              <w:rPr>
                <w:sz w:val="24"/>
              </w:rPr>
            </w:pPr>
            <w:r>
              <w:rPr>
                <w:sz w:val="24"/>
                <w:rtl/>
              </w:rPr>
              <w:t xml:space="preserve">סעיף 14 </w:t>
            </w:r>
          </w:p>
        </w:tc>
      </w:tr>
    </w:tbl>
    <w:p w:rsidR="00AF6134" w:rsidRDefault="00AF6134">
      <w:pPr>
        <w:pStyle w:val="big-header"/>
        <w:ind w:left="0" w:right="1134"/>
        <w:rPr>
          <w:rFonts w:cs="FrankRuehl"/>
          <w:sz w:val="32"/>
          <w:rtl/>
        </w:rPr>
      </w:pPr>
    </w:p>
    <w:p w:rsidR="00AF6134" w:rsidRDefault="00AF6134">
      <w:pPr>
        <w:pStyle w:val="big-header"/>
        <w:ind w:left="0" w:right="1134"/>
        <w:rPr>
          <w:rStyle w:val="default"/>
          <w:rFonts w:cs="FrankRuehl" w:hint="cs"/>
          <w:rtl/>
        </w:rPr>
      </w:pPr>
      <w:r>
        <w:rPr>
          <w:rFonts w:cs="FrankRuehl"/>
          <w:sz w:val="32"/>
          <w:rtl/>
        </w:rPr>
        <w:br w:type="page"/>
      </w:r>
      <w:r w:rsidR="005B28E9">
        <w:rPr>
          <w:rFonts w:cs="FrankRuehl"/>
          <w:sz w:val="32"/>
          <w:rtl/>
        </w:rPr>
        <w:lastRenderedPageBreak/>
        <w:t xml:space="preserve"> </w:t>
      </w:r>
      <w:r>
        <w:rPr>
          <w:rFonts w:cs="FrankRuehl"/>
          <w:sz w:val="32"/>
          <w:rtl/>
        </w:rPr>
        <w:t>תק</w:t>
      </w:r>
      <w:r>
        <w:rPr>
          <w:rFonts w:cs="FrankRuehl" w:hint="cs"/>
          <w:sz w:val="32"/>
          <w:rtl/>
        </w:rPr>
        <w:t>נות שירותי הסעד (סדרי הנוהל בועדות ערר), תשכ"ו</w:t>
      </w:r>
      <w:r w:rsidR="00F80955">
        <w:rPr>
          <w:rFonts w:cs="FrankRuehl" w:hint="cs"/>
          <w:sz w:val="32"/>
          <w:rtl/>
        </w:rPr>
        <w:t>-</w:t>
      </w:r>
      <w:r>
        <w:rPr>
          <w:rFonts w:cs="FrankRuehl"/>
          <w:sz w:val="32"/>
          <w:rtl/>
        </w:rPr>
        <w:t>1965</w:t>
      </w:r>
      <w:r w:rsidR="00F80955">
        <w:rPr>
          <w:rStyle w:val="a6"/>
          <w:rFonts w:cs="FrankRuehl"/>
          <w:sz w:val="32"/>
          <w:rtl/>
        </w:rPr>
        <w:footnoteReference w:customMarkFollows="1" w:id="1"/>
        <w:t>*</w:t>
      </w:r>
    </w:p>
    <w:p w:rsidR="00AF6134" w:rsidRDefault="00AF6134" w:rsidP="00F80955">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2(ו) לחוק שירותי הסעד, תשי"ח</w:t>
      </w:r>
      <w:r w:rsidR="00F80955">
        <w:rPr>
          <w:rStyle w:val="default"/>
          <w:rFonts w:cs="FrankRuehl" w:hint="cs"/>
          <w:rtl/>
        </w:rPr>
        <w:t>-</w:t>
      </w:r>
      <w:r>
        <w:rPr>
          <w:rStyle w:val="default"/>
          <w:rFonts w:cs="FrankRuehl"/>
          <w:rtl/>
        </w:rPr>
        <w:t xml:space="preserve">1958, </w:t>
      </w:r>
      <w:r>
        <w:rPr>
          <w:rStyle w:val="default"/>
          <w:rFonts w:cs="FrankRuehl" w:hint="cs"/>
          <w:rtl/>
        </w:rPr>
        <w:t>ולאחר התייעצות עם ועדת השירותים הציבוריים של הכנסת, אני מתקין תקנות אלה:</w:t>
      </w:r>
    </w:p>
    <w:p w:rsidR="00AF6134" w:rsidRDefault="00AF6134">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5.8pt;z-index:251651072" o:allowincell="f" filled="f" stroked="f" strokecolor="lime" strokeweight=".25pt">
            <v:textbox inset="0,0,0,0">
              <w:txbxContent>
                <w:p w:rsidR="00AF6134" w:rsidRDefault="00AF613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F80955">
        <w:rPr>
          <w:rStyle w:val="default"/>
          <w:rFonts w:cs="FrankRuehl"/>
          <w:rtl/>
        </w:rPr>
        <w:t>–</w:t>
      </w:r>
    </w:p>
    <w:p w:rsidR="00AF6134" w:rsidRDefault="00AF6134" w:rsidP="00F80955">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רר" </w:t>
      </w:r>
      <w:r w:rsidR="00F80955">
        <w:rPr>
          <w:rStyle w:val="default"/>
          <w:rFonts w:cs="FrankRuehl"/>
          <w:rtl/>
        </w:rPr>
        <w:t>–</w:t>
      </w:r>
      <w:r>
        <w:rPr>
          <w:rStyle w:val="default"/>
          <w:rFonts w:cs="FrankRuehl"/>
          <w:rtl/>
        </w:rPr>
        <w:t xml:space="preserve"> </w:t>
      </w:r>
      <w:r>
        <w:rPr>
          <w:rStyle w:val="default"/>
          <w:rFonts w:cs="FrankRuehl" w:hint="cs"/>
          <w:rtl/>
        </w:rPr>
        <w:t>ערר מאת אדם הרואה את עצמו נפג</w:t>
      </w:r>
      <w:r>
        <w:rPr>
          <w:rStyle w:val="default"/>
          <w:rFonts w:cs="FrankRuehl"/>
          <w:rtl/>
        </w:rPr>
        <w:t xml:space="preserve">ע </w:t>
      </w:r>
      <w:r>
        <w:rPr>
          <w:rStyle w:val="default"/>
          <w:rFonts w:cs="FrankRuehl" w:hint="cs"/>
          <w:rtl/>
        </w:rPr>
        <w:t>על ידי אחד מאלה:</w:t>
      </w:r>
    </w:p>
    <w:p w:rsidR="00AF6134" w:rsidRDefault="00AF6134">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י מתן תשובה תוך זמן סביר לבקשתו ליתן טיפול סוציאלי או להגיש סעד;</w:t>
      </w:r>
    </w:p>
    <w:p w:rsidR="00AF6134" w:rsidRDefault="00AF6134">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חלטת לשכת סעד של רשות מקומית לבקשתו כאמור בפ</w:t>
      </w:r>
      <w:r>
        <w:rPr>
          <w:rStyle w:val="default"/>
          <w:rFonts w:cs="FrankRuehl"/>
          <w:rtl/>
        </w:rPr>
        <w:t>ס</w:t>
      </w:r>
      <w:r>
        <w:rPr>
          <w:rStyle w:val="default"/>
          <w:rFonts w:cs="FrankRuehl" w:hint="cs"/>
          <w:rtl/>
        </w:rPr>
        <w:t>קה (1);</w:t>
      </w:r>
    </w:p>
    <w:p w:rsidR="00AF6134" w:rsidRDefault="00AF6134" w:rsidP="00F80955">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מונה על לשכת הסעד" </w:t>
      </w:r>
      <w:r w:rsidR="00F80955">
        <w:rPr>
          <w:rStyle w:val="default"/>
          <w:rFonts w:cs="FrankRuehl"/>
          <w:rtl/>
        </w:rPr>
        <w:t>–</w:t>
      </w:r>
      <w:r>
        <w:rPr>
          <w:rStyle w:val="default"/>
          <w:rFonts w:cs="FrankRuehl"/>
          <w:rtl/>
        </w:rPr>
        <w:t xml:space="preserve"> </w:t>
      </w:r>
      <w:r>
        <w:rPr>
          <w:rStyle w:val="default"/>
          <w:rFonts w:cs="FrankRuehl" w:hint="cs"/>
          <w:rtl/>
        </w:rPr>
        <w:t>מנהל הלשכה כאמור בתקנה 2 לתקנות ארגון לשכות סעד (תפקידי המנהל וועדת הסעד), תשכ"ד</w:t>
      </w:r>
      <w:r w:rsidR="00F80955">
        <w:rPr>
          <w:rStyle w:val="default"/>
          <w:rFonts w:cs="FrankRuehl" w:hint="cs"/>
          <w:rtl/>
        </w:rPr>
        <w:t>-</w:t>
      </w:r>
      <w:r>
        <w:rPr>
          <w:rStyle w:val="default"/>
          <w:rFonts w:cs="FrankRuehl"/>
          <w:rtl/>
        </w:rPr>
        <w:t>1963, ל</w:t>
      </w:r>
      <w:r>
        <w:rPr>
          <w:rStyle w:val="default"/>
          <w:rFonts w:cs="FrankRuehl" w:hint="cs"/>
          <w:rtl/>
        </w:rPr>
        <w:t>רבות מי שמכהן כמנהל הלשכה כאמור בתקנה 3(ב) לתקנות האמורות;</w:t>
      </w:r>
    </w:p>
    <w:p w:rsidR="00AF6134" w:rsidRDefault="00AF6134" w:rsidP="00F80955">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חום שיפוט" </w:t>
      </w:r>
      <w:r w:rsidR="00F80955">
        <w:rPr>
          <w:rStyle w:val="default"/>
          <w:rFonts w:cs="FrankRuehl"/>
          <w:rtl/>
        </w:rPr>
        <w:t>–</w:t>
      </w:r>
      <w:r>
        <w:rPr>
          <w:rStyle w:val="default"/>
          <w:rFonts w:cs="FrankRuehl"/>
          <w:rtl/>
        </w:rPr>
        <w:t xml:space="preserve"> </w:t>
      </w:r>
      <w:r>
        <w:rPr>
          <w:rStyle w:val="default"/>
          <w:rFonts w:cs="FrankRuehl" w:hint="cs"/>
          <w:rtl/>
        </w:rPr>
        <w:t xml:space="preserve">תחום שיפוטה של ועדת ערר כפי שנקבע על ידי שר הסעד על פי סעיף </w:t>
      </w:r>
      <w:r>
        <w:rPr>
          <w:rStyle w:val="default"/>
          <w:rFonts w:cs="FrankRuehl"/>
          <w:rtl/>
        </w:rPr>
        <w:t>2(</w:t>
      </w:r>
      <w:r>
        <w:rPr>
          <w:rStyle w:val="default"/>
          <w:rFonts w:cs="FrankRuehl" w:hint="cs"/>
          <w:rtl/>
        </w:rPr>
        <w:t>ד) לחוק.</w:t>
      </w:r>
    </w:p>
    <w:p w:rsidR="00AF6134" w:rsidRDefault="00AF6134" w:rsidP="00F80955">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3.9pt;z-index:251652096" o:allowincell="f" filled="f" stroked="f" strokecolor="lime" strokeweight=".25pt">
            <v:textbox inset="0,0,0,0">
              <w:txbxContent>
                <w:p w:rsidR="00AF6134" w:rsidRDefault="00AF6134">
                  <w:pPr>
                    <w:spacing w:line="160" w:lineRule="exact"/>
                    <w:jc w:val="left"/>
                    <w:rPr>
                      <w:rFonts w:cs="Miriam"/>
                      <w:noProof/>
                      <w:sz w:val="18"/>
                      <w:szCs w:val="18"/>
                      <w:rtl/>
                    </w:rPr>
                  </w:pPr>
                  <w:r>
                    <w:rPr>
                      <w:rFonts w:cs="Miriam"/>
                      <w:sz w:val="18"/>
                      <w:szCs w:val="18"/>
                      <w:rtl/>
                    </w:rPr>
                    <w:t>בח</w:t>
                  </w:r>
                  <w:r>
                    <w:rPr>
                      <w:rFonts w:cs="Miriam" w:hint="cs"/>
                      <w:sz w:val="18"/>
                      <w:szCs w:val="18"/>
                      <w:rtl/>
                    </w:rPr>
                    <w:t>ירת יושב הראש</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ישיבה הראשונה של ועדת ערר תזומן על ידי המנהל הכללי למשרד הסעד (להלן </w:t>
      </w:r>
      <w:r w:rsidR="00F80955">
        <w:rPr>
          <w:rStyle w:val="default"/>
          <w:rFonts w:cs="FrankRuehl"/>
          <w:rtl/>
        </w:rPr>
        <w:t>–</w:t>
      </w:r>
      <w:r>
        <w:rPr>
          <w:rStyle w:val="default"/>
          <w:rFonts w:cs="FrankRuehl"/>
          <w:rtl/>
        </w:rPr>
        <w:t xml:space="preserve"> </w:t>
      </w:r>
      <w:r>
        <w:rPr>
          <w:rStyle w:val="default"/>
          <w:rFonts w:cs="FrankRuehl" w:hint="cs"/>
          <w:rtl/>
        </w:rPr>
        <w:t>המנהל הכללי); ההזמנות יישלחו</w:t>
      </w:r>
      <w:r>
        <w:rPr>
          <w:rStyle w:val="default"/>
          <w:rFonts w:cs="FrankRuehl"/>
          <w:rtl/>
        </w:rPr>
        <w:t xml:space="preserve"> ב</w:t>
      </w:r>
      <w:r>
        <w:rPr>
          <w:rStyle w:val="default"/>
          <w:rFonts w:cs="FrankRuehl" w:hint="cs"/>
          <w:rtl/>
        </w:rPr>
        <w:t>דואר רשום.</w:t>
      </w:r>
    </w:p>
    <w:p w:rsidR="00AF6134" w:rsidRDefault="00AF613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ישיבתה הראשונה יבחרו חברי ועדת הערר את יושב הראש שלה.</w:t>
      </w:r>
    </w:p>
    <w:p w:rsidR="00AF6134" w:rsidRDefault="00AF6134">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4.75pt;z-index:251653120" o:allowincell="f" filled="f" stroked="f" strokecolor="lime" strokeweight=".25pt">
            <v:textbox inset="0,0,0,0">
              <w:txbxContent>
                <w:p w:rsidR="00AF6134" w:rsidRDefault="00AF6134">
                  <w:pPr>
                    <w:spacing w:line="160" w:lineRule="exact"/>
                    <w:jc w:val="left"/>
                    <w:rPr>
                      <w:rFonts w:cs="Miriam"/>
                      <w:noProof/>
                      <w:sz w:val="18"/>
                      <w:szCs w:val="18"/>
                      <w:rtl/>
                    </w:rPr>
                  </w:pPr>
                  <w:r>
                    <w:rPr>
                      <w:rFonts w:cs="Miriam"/>
                      <w:sz w:val="18"/>
                      <w:szCs w:val="18"/>
                      <w:rtl/>
                    </w:rPr>
                    <w:t>הג</w:t>
                  </w:r>
                  <w:r>
                    <w:rPr>
                      <w:rFonts w:cs="Miriam" w:hint="cs"/>
                      <w:sz w:val="18"/>
                      <w:szCs w:val="18"/>
                      <w:rtl/>
                    </w:rPr>
                    <w:t>שת ערר</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רר יוגש בכתב לועדת הערר שבתחום שיפוטה נמצא תחום הרשות המקומית שעל החלטת לשכת הסעד שלה מוגש הערר.</w:t>
      </w:r>
    </w:p>
    <w:p w:rsidR="00AF6134" w:rsidRDefault="00AF613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ושב ראש ועדת הערר יודיע בדואר רשום תוך חמישה עשר יום מיום הגשת הערר לעו</w:t>
      </w:r>
      <w:r>
        <w:rPr>
          <w:rStyle w:val="default"/>
          <w:rFonts w:cs="FrankRuehl"/>
          <w:rtl/>
        </w:rPr>
        <w:t>רר</w:t>
      </w:r>
      <w:r>
        <w:rPr>
          <w:rStyle w:val="default"/>
          <w:rFonts w:cs="FrankRuehl" w:hint="cs"/>
          <w:rtl/>
        </w:rPr>
        <w:t>, לממונה על לשכת הסעד שעל החלטתה הוגש הערר ולחברי ועדת הערר על מועד הדיון בו, וימציא לחברי הועדה ולמנהל לשכ</w:t>
      </w:r>
      <w:r>
        <w:rPr>
          <w:rStyle w:val="default"/>
          <w:rFonts w:cs="FrankRuehl"/>
          <w:rtl/>
        </w:rPr>
        <w:t>ת</w:t>
      </w:r>
      <w:r>
        <w:rPr>
          <w:rStyle w:val="default"/>
          <w:rFonts w:cs="FrankRuehl" w:hint="cs"/>
          <w:rtl/>
        </w:rPr>
        <w:t xml:space="preserve"> הסעד שעל החלטתו עוררים, העתק מכתב הערר.</w:t>
      </w:r>
    </w:p>
    <w:p w:rsidR="00AF6134" w:rsidRDefault="00AF6134">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2.05pt;z-index:251654144" o:allowincell="f" filled="f" stroked="f" strokecolor="lime" strokeweight=".25pt">
            <v:textbox inset="0,0,0,0">
              <w:txbxContent>
                <w:p w:rsidR="00AF6134" w:rsidRDefault="00AF6134">
                  <w:pPr>
                    <w:spacing w:line="160" w:lineRule="exact"/>
                    <w:jc w:val="left"/>
                    <w:rPr>
                      <w:rFonts w:cs="Miriam"/>
                      <w:noProof/>
                      <w:sz w:val="18"/>
                      <w:szCs w:val="18"/>
                      <w:rtl/>
                    </w:rPr>
                  </w:pPr>
                  <w:r>
                    <w:rPr>
                      <w:rFonts w:cs="Miriam"/>
                      <w:sz w:val="18"/>
                      <w:szCs w:val="18"/>
                      <w:rtl/>
                    </w:rPr>
                    <w:t>הו</w:t>
                  </w:r>
                  <w:r>
                    <w:rPr>
                      <w:rFonts w:cs="Miriam" w:hint="cs"/>
                      <w:sz w:val="18"/>
                      <w:szCs w:val="18"/>
                      <w:rtl/>
                    </w:rPr>
                    <w:t>פעת בעלי הדין</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עורר והממונה על לשכת הסעד שעל החלטתו עוררים רשאים להופיע בפני ועדת הערר ולטעון את טענותיהם בעצמם</w:t>
      </w:r>
      <w:r>
        <w:rPr>
          <w:rStyle w:val="default"/>
          <w:rFonts w:cs="FrankRuehl"/>
          <w:rtl/>
        </w:rPr>
        <w:t xml:space="preserve"> א</w:t>
      </w:r>
      <w:r>
        <w:rPr>
          <w:rStyle w:val="default"/>
          <w:rFonts w:cs="FrankRuehl" w:hint="cs"/>
          <w:rtl/>
        </w:rPr>
        <w:t>ו על ידי בא כוחם.</w:t>
      </w:r>
    </w:p>
    <w:p w:rsidR="00AF6134" w:rsidRDefault="00AF613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ועדה רשאית להזמין את העורר או כל אדם אחר שעדותו עשויה לתרום לבירור הערר, להעיד בפניה או להמציא לה כל מסמך הנוגע לערר.</w:t>
      </w:r>
    </w:p>
    <w:p w:rsidR="00AF6134" w:rsidRDefault="00AF6134">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6pt;z-index:251655168" o:allowincell="f" filled="f" stroked="f" strokecolor="lime" strokeweight=".25pt">
            <v:textbox inset="0,0,0,0">
              <w:txbxContent>
                <w:p w:rsidR="00AF6134" w:rsidRDefault="00AF6134" w:rsidP="00F80955">
                  <w:pPr>
                    <w:spacing w:line="160" w:lineRule="exact"/>
                    <w:jc w:val="left"/>
                    <w:rPr>
                      <w:rFonts w:cs="Miriam"/>
                      <w:noProof/>
                      <w:sz w:val="18"/>
                      <w:szCs w:val="18"/>
                      <w:rtl/>
                    </w:rPr>
                  </w:pPr>
                  <w:r>
                    <w:rPr>
                      <w:rFonts w:cs="Miriam"/>
                      <w:sz w:val="18"/>
                      <w:szCs w:val="18"/>
                      <w:rtl/>
                    </w:rPr>
                    <w:t>הע</w:t>
                  </w:r>
                  <w:r>
                    <w:rPr>
                      <w:rFonts w:cs="Miriam" w:hint="cs"/>
                      <w:sz w:val="18"/>
                      <w:szCs w:val="18"/>
                      <w:rtl/>
                    </w:rPr>
                    <w:t>ברת חומר</w:t>
                  </w:r>
                  <w:r w:rsidR="00F80955">
                    <w:rPr>
                      <w:rFonts w:cs="Miriam" w:hint="cs"/>
                      <w:sz w:val="18"/>
                      <w:szCs w:val="18"/>
                      <w:rtl/>
                    </w:rPr>
                    <w:t xml:space="preserve"> </w:t>
                  </w:r>
                  <w:r>
                    <w:rPr>
                      <w:rFonts w:cs="Miriam"/>
                      <w:sz w:val="18"/>
                      <w:szCs w:val="18"/>
                      <w:rtl/>
                    </w:rPr>
                    <w:t>לו</w:t>
                  </w:r>
                  <w:r>
                    <w:rPr>
                      <w:rFonts w:cs="Miriam" w:hint="cs"/>
                      <w:sz w:val="18"/>
                      <w:szCs w:val="18"/>
                      <w:rtl/>
                    </w:rPr>
                    <w:t>עדה</w:t>
                  </w:r>
                </w:p>
              </w:txbxContent>
            </v:textbox>
            <w10:anchorlock/>
          </v:rect>
        </w:pict>
      </w:r>
      <w:r>
        <w:rPr>
          <w:rStyle w:val="big-number"/>
          <w:rFonts w:cs="Miriam"/>
          <w:rtl/>
        </w:rPr>
        <w:t>5.</w:t>
      </w:r>
      <w:r>
        <w:rPr>
          <w:rStyle w:val="big-number"/>
          <w:rFonts w:cs="Miriam"/>
          <w:rtl/>
        </w:rPr>
        <w:tab/>
      </w:r>
      <w:r>
        <w:rPr>
          <w:rStyle w:val="default"/>
          <w:rFonts w:cs="FrankRuehl"/>
          <w:rtl/>
        </w:rPr>
        <w:t>הממו</w:t>
      </w:r>
      <w:r>
        <w:rPr>
          <w:rStyle w:val="default"/>
          <w:rFonts w:cs="FrankRuehl" w:hint="cs"/>
          <w:rtl/>
        </w:rPr>
        <w:t>נה על לשכת הסעד, שעל החלטתו עוררים, ימציא לפני התחלת הדיון את תיק הערר ליושב ראש ועדת הערר, לפי דרישתו.</w:t>
      </w:r>
    </w:p>
    <w:p w:rsidR="00AF6134" w:rsidRDefault="00AF6134">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1.8pt;z-index:251656192" o:allowincell="f" filled="f" stroked="f" strokecolor="lime" strokeweight=".25pt">
            <v:textbox inset="0,0,0,0">
              <w:txbxContent>
                <w:p w:rsidR="00AF6134" w:rsidRDefault="00AF6134">
                  <w:pPr>
                    <w:spacing w:line="160" w:lineRule="exact"/>
                    <w:jc w:val="left"/>
                    <w:rPr>
                      <w:rFonts w:cs="Miriam"/>
                      <w:noProof/>
                      <w:sz w:val="18"/>
                      <w:szCs w:val="18"/>
                      <w:rtl/>
                    </w:rPr>
                  </w:pPr>
                  <w:r>
                    <w:rPr>
                      <w:rFonts w:cs="Miriam"/>
                      <w:sz w:val="18"/>
                      <w:szCs w:val="18"/>
                      <w:rtl/>
                    </w:rPr>
                    <w:t>פר</w:t>
                  </w:r>
                  <w:r>
                    <w:rPr>
                      <w:rFonts w:cs="Miriam" w:hint="cs"/>
                      <w:sz w:val="18"/>
                      <w:szCs w:val="18"/>
                      <w:rtl/>
                    </w:rPr>
                    <w:t>וטוקול</w:t>
                  </w:r>
                </w:p>
              </w:txbxContent>
            </v:textbox>
            <w10:anchorlock/>
          </v:rect>
        </w:pict>
      </w:r>
      <w:r>
        <w:rPr>
          <w:rStyle w:val="big-number"/>
          <w:rFonts w:cs="Miriam"/>
          <w:rtl/>
        </w:rPr>
        <w:t>6.</w:t>
      </w:r>
      <w:r>
        <w:rPr>
          <w:rStyle w:val="big-number"/>
          <w:rFonts w:cs="Miriam"/>
          <w:rtl/>
        </w:rPr>
        <w:tab/>
      </w:r>
      <w:r>
        <w:rPr>
          <w:rStyle w:val="default"/>
          <w:rFonts w:cs="FrankRuehl"/>
          <w:rtl/>
        </w:rPr>
        <w:t>די</w:t>
      </w:r>
      <w:r>
        <w:rPr>
          <w:rStyle w:val="default"/>
          <w:rFonts w:cs="FrankRuehl" w:hint="cs"/>
          <w:rtl/>
        </w:rPr>
        <w:t>וני הועדה והחלטותיה, לרבות דעת המיעוט שבין חבריה, יירשמו בפרוטוקול והוא ייחתם בידי כל חברי הועדה הנוכחים בישיבה.</w:t>
      </w:r>
    </w:p>
    <w:p w:rsidR="00AF6134" w:rsidRDefault="00AF6134">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2.5pt;z-index:251657216" o:allowincell="f" filled="f" stroked="f" strokecolor="lime" strokeweight=".25pt">
            <v:textbox inset="0,0,0,0">
              <w:txbxContent>
                <w:p w:rsidR="00AF6134" w:rsidRDefault="00AF6134">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כבילות</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ועדה לא תהא קשורה בדינ</w:t>
      </w:r>
      <w:r>
        <w:rPr>
          <w:rStyle w:val="default"/>
          <w:rFonts w:cs="FrankRuehl"/>
          <w:rtl/>
        </w:rPr>
        <w:t xml:space="preserve">י </w:t>
      </w:r>
      <w:r>
        <w:rPr>
          <w:rStyle w:val="default"/>
          <w:rFonts w:cs="FrankRuehl" w:hint="cs"/>
          <w:rtl/>
        </w:rPr>
        <w:t>ראיות ובסדרי הדין הנהוגים בבתי המשפט; והיא תדון</w:t>
      </w:r>
      <w:r>
        <w:rPr>
          <w:rStyle w:val="default"/>
          <w:rFonts w:cs="FrankRuehl"/>
          <w:rtl/>
        </w:rPr>
        <w:t xml:space="preserve"> </w:t>
      </w:r>
      <w:r>
        <w:rPr>
          <w:rStyle w:val="default"/>
          <w:rFonts w:cs="FrankRuehl" w:hint="cs"/>
          <w:rtl/>
        </w:rPr>
        <w:t>ותגבה עדויות בדרך הטובה ביותר לגילוי האמת ועשיית צדק, ובלבד שלא תגבה עדות שאינה נוגעת לענין הנדון ואינה הוגנת ולא תרשה הועדה חקירה שיש בה משום עלבון, הפחדה, התעיה או ביוש שאינם לענין הנדון ואינם הוגנים.</w:t>
      </w:r>
    </w:p>
    <w:p w:rsidR="00AF6134" w:rsidRDefault="00AF613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w:t>
      </w:r>
      <w:r>
        <w:rPr>
          <w:rStyle w:val="default"/>
          <w:rFonts w:cs="FrankRuehl" w:hint="cs"/>
          <w:rtl/>
        </w:rPr>
        <w:t>ועדה רשאית לקבוע בעצמה את יתר סדרי הדיון בפניה</w:t>
      </w:r>
      <w:r>
        <w:rPr>
          <w:rStyle w:val="default"/>
          <w:rFonts w:cs="FrankRuehl"/>
          <w:rtl/>
        </w:rPr>
        <w:t>.</w:t>
      </w:r>
    </w:p>
    <w:p w:rsidR="00AF6134" w:rsidRDefault="00AF6134">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15.35pt;z-index:251658240" o:allowincell="f" filled="f" stroked="f" strokecolor="lime" strokeweight=".25pt">
            <v:textbox inset="0,0,0,0">
              <w:txbxContent>
                <w:p w:rsidR="00AF6134" w:rsidRDefault="00AF6134">
                  <w:pPr>
                    <w:spacing w:line="160" w:lineRule="exact"/>
                    <w:jc w:val="left"/>
                    <w:rPr>
                      <w:rFonts w:cs="Miriam"/>
                      <w:noProof/>
                      <w:sz w:val="18"/>
                      <w:szCs w:val="18"/>
                      <w:rtl/>
                    </w:rPr>
                  </w:pPr>
                  <w:r>
                    <w:rPr>
                      <w:rFonts w:cs="Miriam"/>
                      <w:sz w:val="18"/>
                      <w:szCs w:val="18"/>
                      <w:rtl/>
                    </w:rPr>
                    <w:t>שמ</w:t>
                  </w:r>
                  <w:r>
                    <w:rPr>
                      <w:rFonts w:cs="Miriam" w:hint="cs"/>
                      <w:sz w:val="18"/>
                      <w:szCs w:val="18"/>
                      <w:rtl/>
                    </w:rPr>
                    <w:t>ירת הסדר</w:t>
                  </w:r>
                </w:p>
              </w:txbxContent>
            </v:textbox>
            <w10:anchorlock/>
          </v:rect>
        </w:pict>
      </w:r>
      <w:r>
        <w:rPr>
          <w:rStyle w:val="big-number"/>
          <w:rFonts w:cs="Miriam"/>
          <w:rtl/>
        </w:rPr>
        <w:t>8.</w:t>
      </w:r>
      <w:r>
        <w:rPr>
          <w:rStyle w:val="big-number"/>
          <w:rFonts w:cs="Miriam"/>
          <w:rtl/>
        </w:rPr>
        <w:tab/>
      </w:r>
      <w:r>
        <w:rPr>
          <w:rStyle w:val="default"/>
          <w:rFonts w:cs="FrankRuehl"/>
          <w:rtl/>
        </w:rPr>
        <w:t>יו</w:t>
      </w:r>
      <w:r>
        <w:rPr>
          <w:rStyle w:val="default"/>
          <w:rFonts w:cs="FrankRuehl" w:hint="cs"/>
          <w:rtl/>
        </w:rPr>
        <w:t>שב ראש הועדה ינהל את הדיון בישיבת הועדה והוא יהיה רשאי להורות כל הוראה הדרושה לקיום הסדר במקום הדיון.</w:t>
      </w:r>
    </w:p>
    <w:p w:rsidR="00AF6134" w:rsidRDefault="00AF6134">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16pt;z-index:251659264" o:allowincell="f" filled="f" stroked="f" strokecolor="lime" strokeweight=".25pt">
            <v:textbox inset="0,0,0,0">
              <w:txbxContent>
                <w:p w:rsidR="00AF6134" w:rsidRDefault="00AF6134" w:rsidP="00F80955">
                  <w:pPr>
                    <w:spacing w:line="160" w:lineRule="exact"/>
                    <w:jc w:val="left"/>
                    <w:rPr>
                      <w:rFonts w:cs="Miriam"/>
                      <w:noProof/>
                      <w:sz w:val="18"/>
                      <w:szCs w:val="18"/>
                      <w:rtl/>
                    </w:rPr>
                  </w:pPr>
                  <w:r>
                    <w:rPr>
                      <w:rFonts w:cs="Miriam"/>
                      <w:sz w:val="18"/>
                      <w:szCs w:val="18"/>
                      <w:rtl/>
                    </w:rPr>
                    <w:t>הח</w:t>
                  </w:r>
                  <w:r>
                    <w:rPr>
                      <w:rFonts w:cs="Miriam" w:hint="cs"/>
                      <w:sz w:val="18"/>
                      <w:szCs w:val="18"/>
                      <w:rtl/>
                    </w:rPr>
                    <w:t>לטות ברוב</w:t>
                  </w:r>
                  <w:r w:rsidR="00F80955">
                    <w:rPr>
                      <w:rFonts w:cs="Miriam" w:hint="cs"/>
                      <w:sz w:val="18"/>
                      <w:szCs w:val="18"/>
                      <w:rtl/>
                    </w:rPr>
                    <w:t xml:space="preserve"> </w:t>
                  </w:r>
                  <w:r>
                    <w:rPr>
                      <w:rFonts w:cs="Miriam"/>
                      <w:sz w:val="18"/>
                      <w:szCs w:val="18"/>
                      <w:rtl/>
                    </w:rPr>
                    <w:t>דע</w:t>
                  </w:r>
                  <w:r>
                    <w:rPr>
                      <w:rFonts w:cs="Miriam" w:hint="cs"/>
                      <w:sz w:val="18"/>
                      <w:szCs w:val="18"/>
                      <w:rtl/>
                    </w:rPr>
                    <w:t>ות</w:t>
                  </w:r>
                </w:p>
              </w:txbxContent>
            </v:textbox>
            <w10:anchorlock/>
          </v:rect>
        </w:pict>
      </w:r>
      <w:r>
        <w:rPr>
          <w:rStyle w:val="big-number"/>
          <w:rFonts w:cs="Miriam"/>
          <w:rtl/>
        </w:rPr>
        <w:t>9.</w:t>
      </w:r>
      <w:r>
        <w:rPr>
          <w:rStyle w:val="big-number"/>
          <w:rFonts w:cs="Miriam"/>
          <w:rtl/>
        </w:rPr>
        <w:tab/>
      </w:r>
      <w:r>
        <w:rPr>
          <w:rStyle w:val="default"/>
          <w:rFonts w:cs="FrankRuehl"/>
          <w:rtl/>
        </w:rPr>
        <w:t>הח</w:t>
      </w:r>
      <w:r>
        <w:rPr>
          <w:rStyle w:val="default"/>
          <w:rFonts w:cs="FrankRuehl" w:hint="cs"/>
          <w:rtl/>
        </w:rPr>
        <w:t>לטות הועדה יתקבלו ברוב דעות; היו הדעות שקולות תובא ההצעה שנית בפני הרכב מלא של הועדה.</w:t>
      </w:r>
    </w:p>
    <w:p w:rsidR="00AF6134" w:rsidRDefault="00AF6134">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11.1pt;z-index:251660288" o:allowincell="f" filled="f" stroked="f" strokecolor="lime" strokeweight=".25pt">
            <v:textbox inset="0,0,0,0">
              <w:txbxContent>
                <w:p w:rsidR="00AF6134" w:rsidRDefault="00AF6134">
                  <w:pPr>
                    <w:spacing w:line="160" w:lineRule="exact"/>
                    <w:jc w:val="left"/>
                    <w:rPr>
                      <w:rFonts w:cs="Miriam"/>
                      <w:noProof/>
                      <w:sz w:val="18"/>
                      <w:szCs w:val="18"/>
                      <w:rtl/>
                    </w:rPr>
                  </w:pPr>
                  <w:r>
                    <w:rPr>
                      <w:rFonts w:cs="Miriam"/>
                      <w:sz w:val="18"/>
                      <w:szCs w:val="18"/>
                      <w:rtl/>
                    </w:rPr>
                    <w:t>מו</w:t>
                  </w:r>
                  <w:r>
                    <w:rPr>
                      <w:rFonts w:cs="Miriam" w:hint="cs"/>
                      <w:sz w:val="18"/>
                      <w:szCs w:val="18"/>
                      <w:rtl/>
                    </w:rPr>
                    <w:t>עד</w:t>
                  </w:r>
                </w:p>
              </w:txbxContent>
            </v:textbox>
            <w10:anchorlock/>
          </v:rect>
        </w:pict>
      </w:r>
      <w:r>
        <w:rPr>
          <w:rStyle w:val="big-number"/>
          <w:rFonts w:cs="Miriam"/>
          <w:rtl/>
        </w:rPr>
        <w:t>10.</w:t>
      </w:r>
      <w:r>
        <w:rPr>
          <w:rStyle w:val="big-number"/>
          <w:rFonts w:cs="Miriam"/>
          <w:rtl/>
        </w:rPr>
        <w:tab/>
      </w:r>
      <w:r>
        <w:rPr>
          <w:rStyle w:val="default"/>
          <w:rFonts w:cs="FrankRuehl"/>
          <w:rtl/>
        </w:rPr>
        <w:t>הח</w:t>
      </w:r>
      <w:r>
        <w:rPr>
          <w:rStyle w:val="default"/>
          <w:rFonts w:cs="FrankRuehl" w:hint="cs"/>
          <w:rtl/>
        </w:rPr>
        <w:t>לטת הועדה תינתן תוך זמן סביר ולא יאוחר מאשר 10 ימים מיום שנסתיימה גביית העדויות בענין או מתאריך הישיבה האחרונה שבה נדון הערר, הכל לפי המועד המאוחר יותר.</w:t>
      </w:r>
    </w:p>
    <w:p w:rsidR="00AF6134" w:rsidRDefault="00AF6134">
      <w:pPr>
        <w:pStyle w:val="P00"/>
        <w:spacing w:before="72"/>
        <w:ind w:left="0" w:right="1134"/>
        <w:rPr>
          <w:rStyle w:val="default"/>
          <w:rFonts w:cs="FrankRuehl"/>
          <w:rtl/>
        </w:rPr>
      </w:pPr>
      <w:bookmarkStart w:id="10" w:name="Seif10"/>
      <w:bookmarkEnd w:id="10"/>
      <w:r>
        <w:rPr>
          <w:lang w:val="he-IL"/>
        </w:rPr>
        <w:lastRenderedPageBreak/>
        <w:pict>
          <v:rect id="_x0000_s1036" style="position:absolute;left:0;text-align:left;margin-left:464.5pt;margin-top:8.05pt;width:75.05pt;height:11.8pt;z-index:251661312" o:allowincell="f" filled="f" stroked="f" strokecolor="lime" strokeweight=".25pt">
            <v:textbox inset="0,0,0,0">
              <w:txbxContent>
                <w:p w:rsidR="00AF6134" w:rsidRDefault="00AF6134">
                  <w:pPr>
                    <w:spacing w:line="160" w:lineRule="exact"/>
                    <w:jc w:val="left"/>
                    <w:rPr>
                      <w:rFonts w:cs="Miriam"/>
                      <w:noProof/>
                      <w:sz w:val="18"/>
                      <w:szCs w:val="18"/>
                      <w:rtl/>
                    </w:rPr>
                  </w:pPr>
                  <w:r>
                    <w:rPr>
                      <w:rFonts w:cs="Miriam"/>
                      <w:sz w:val="18"/>
                      <w:szCs w:val="18"/>
                      <w:rtl/>
                    </w:rPr>
                    <w:t>מת</w:t>
                  </w:r>
                  <w:r>
                    <w:rPr>
                      <w:rFonts w:cs="Miriam" w:hint="cs"/>
                      <w:sz w:val="18"/>
                      <w:szCs w:val="18"/>
                      <w:rtl/>
                    </w:rPr>
                    <w:t>ן החלטה</w:t>
                  </w:r>
                </w:p>
              </w:txbxContent>
            </v:textbox>
            <w10:anchorlock/>
          </v:rect>
        </w:pict>
      </w:r>
      <w:r>
        <w:rPr>
          <w:rStyle w:val="big-number"/>
          <w:rFonts w:cs="Miriam"/>
          <w:rtl/>
        </w:rPr>
        <w:t>11.</w:t>
      </w:r>
      <w:r>
        <w:rPr>
          <w:rStyle w:val="big-number"/>
          <w:rFonts w:cs="Miriam"/>
          <w:rtl/>
        </w:rPr>
        <w:tab/>
      </w:r>
      <w:r>
        <w:rPr>
          <w:rStyle w:val="default"/>
          <w:rFonts w:cs="FrankRuehl"/>
          <w:rtl/>
        </w:rPr>
        <w:t>הח</w:t>
      </w:r>
      <w:r>
        <w:rPr>
          <w:rStyle w:val="default"/>
          <w:rFonts w:cs="FrankRuehl" w:hint="cs"/>
          <w:rtl/>
        </w:rPr>
        <w:t>לטה מנומקת של הועדה תימסר בכתב לעורר, והעתקים ממנה לממונה על לשכת הסעד שעל החלטתו עוררים, ול</w:t>
      </w:r>
      <w:r>
        <w:rPr>
          <w:rStyle w:val="default"/>
          <w:rFonts w:cs="FrankRuehl"/>
          <w:rtl/>
        </w:rPr>
        <w:t>מ</w:t>
      </w:r>
      <w:r>
        <w:rPr>
          <w:rStyle w:val="default"/>
          <w:rFonts w:cs="FrankRuehl" w:hint="cs"/>
          <w:rtl/>
        </w:rPr>
        <w:t>נ</w:t>
      </w:r>
      <w:r>
        <w:rPr>
          <w:rStyle w:val="default"/>
          <w:rFonts w:cs="FrankRuehl"/>
          <w:rtl/>
        </w:rPr>
        <w:t>הל</w:t>
      </w:r>
      <w:r>
        <w:rPr>
          <w:rStyle w:val="default"/>
          <w:rFonts w:cs="FrankRuehl" w:hint="cs"/>
          <w:rtl/>
        </w:rPr>
        <w:t xml:space="preserve"> הכללי.</w:t>
      </w:r>
    </w:p>
    <w:p w:rsidR="00AF6134" w:rsidRDefault="00AF6134">
      <w:pPr>
        <w:pStyle w:val="P00"/>
        <w:spacing w:before="72"/>
        <w:ind w:left="0" w:right="1134"/>
        <w:rPr>
          <w:rStyle w:val="default"/>
          <w:rFonts w:cs="FrankRuehl"/>
          <w:rtl/>
        </w:rPr>
      </w:pPr>
      <w:bookmarkStart w:id="11" w:name="Seif11"/>
      <w:bookmarkEnd w:id="11"/>
      <w:r>
        <w:rPr>
          <w:lang w:val="he-IL"/>
        </w:rPr>
        <w:pict>
          <v:rect id="_x0000_s1037" style="position:absolute;left:0;text-align:left;margin-left:464.5pt;margin-top:8.05pt;width:75.05pt;height:9.7pt;z-index:251662336" o:allowincell="f" filled="f" stroked="f" strokecolor="lime" strokeweight=".25pt">
            <v:textbox inset="0,0,0,0">
              <w:txbxContent>
                <w:p w:rsidR="00AF6134" w:rsidRDefault="00AF6134">
                  <w:pPr>
                    <w:spacing w:line="160" w:lineRule="exact"/>
                    <w:jc w:val="left"/>
                    <w:rPr>
                      <w:rFonts w:cs="Miriam"/>
                      <w:noProof/>
                      <w:sz w:val="18"/>
                      <w:szCs w:val="18"/>
                      <w:rtl/>
                    </w:rPr>
                  </w:pPr>
                  <w:r>
                    <w:rPr>
                      <w:rFonts w:cs="Miriam"/>
                      <w:sz w:val="18"/>
                      <w:szCs w:val="18"/>
                      <w:rtl/>
                    </w:rPr>
                    <w:t>סו</w:t>
                  </w:r>
                  <w:r>
                    <w:rPr>
                      <w:rFonts w:cs="Miriam" w:hint="cs"/>
                      <w:sz w:val="18"/>
                      <w:szCs w:val="18"/>
                      <w:rtl/>
                    </w:rPr>
                    <w:t>פיות</w:t>
                  </w:r>
                </w:p>
              </w:txbxContent>
            </v:textbox>
            <w10:anchorlock/>
          </v:rect>
        </w:pict>
      </w:r>
      <w:r>
        <w:rPr>
          <w:rStyle w:val="big-number"/>
          <w:rFonts w:cs="Miriam"/>
          <w:rtl/>
        </w:rPr>
        <w:t>12.</w:t>
      </w:r>
      <w:r>
        <w:rPr>
          <w:rStyle w:val="big-number"/>
          <w:rFonts w:cs="Miriam"/>
          <w:rtl/>
        </w:rPr>
        <w:tab/>
      </w:r>
      <w:r>
        <w:rPr>
          <w:rStyle w:val="default"/>
          <w:rFonts w:cs="FrankRuehl"/>
          <w:rtl/>
        </w:rPr>
        <w:t>לא</w:t>
      </w:r>
      <w:r>
        <w:rPr>
          <w:rStyle w:val="default"/>
          <w:rFonts w:cs="FrankRuehl" w:hint="cs"/>
          <w:rtl/>
        </w:rPr>
        <w:t xml:space="preserve"> תיזקק ועדת ערר לערר שכבר הוכרע על ידיה.</w:t>
      </w:r>
    </w:p>
    <w:p w:rsidR="00AF6134" w:rsidRDefault="00AF6134">
      <w:pPr>
        <w:pStyle w:val="P00"/>
        <w:spacing w:before="72"/>
        <w:ind w:left="0" w:right="1134"/>
        <w:rPr>
          <w:rStyle w:val="default"/>
          <w:rFonts w:cs="FrankRuehl"/>
          <w:rtl/>
        </w:rPr>
      </w:pPr>
      <w:bookmarkStart w:id="12" w:name="Seif12"/>
      <w:bookmarkEnd w:id="12"/>
      <w:r>
        <w:rPr>
          <w:lang w:val="he-IL"/>
        </w:rPr>
        <w:pict>
          <v:rect id="_x0000_s1038" style="position:absolute;left:0;text-align:left;margin-left:464.5pt;margin-top:8.05pt;width:75.05pt;height:12.15pt;z-index:251663360" o:allowincell="f" filled="f" stroked="f" strokecolor="lime" strokeweight=".25pt">
            <v:textbox inset="0,0,0,0">
              <w:txbxContent>
                <w:p w:rsidR="00AF6134" w:rsidRDefault="00AF6134">
                  <w:pPr>
                    <w:spacing w:line="160" w:lineRule="exact"/>
                    <w:jc w:val="left"/>
                    <w:rPr>
                      <w:rFonts w:cs="Miriam"/>
                      <w:noProof/>
                      <w:sz w:val="18"/>
                      <w:szCs w:val="18"/>
                      <w:rtl/>
                    </w:rPr>
                  </w:pPr>
                  <w:r>
                    <w:rPr>
                      <w:rFonts w:cs="Miriam"/>
                      <w:sz w:val="18"/>
                      <w:szCs w:val="18"/>
                      <w:rtl/>
                    </w:rPr>
                    <w:t>סו</w:t>
                  </w:r>
                  <w:r>
                    <w:rPr>
                      <w:rFonts w:cs="Miriam" w:hint="cs"/>
                      <w:sz w:val="18"/>
                      <w:szCs w:val="18"/>
                      <w:rtl/>
                    </w:rPr>
                    <w:t>דיות</w:t>
                  </w:r>
                </w:p>
              </w:txbxContent>
            </v:textbox>
            <w10:anchorlock/>
          </v:rect>
        </w:pict>
      </w:r>
      <w:r>
        <w:rPr>
          <w:rStyle w:val="big-number"/>
          <w:rFonts w:cs="Miriam"/>
          <w:rtl/>
        </w:rPr>
        <w:t>13.</w:t>
      </w:r>
      <w:r>
        <w:rPr>
          <w:rStyle w:val="big-number"/>
          <w:rFonts w:cs="Miriam"/>
          <w:rtl/>
        </w:rPr>
        <w:tab/>
      </w:r>
      <w:r>
        <w:rPr>
          <w:rStyle w:val="default"/>
          <w:rFonts w:cs="FrankRuehl"/>
          <w:rtl/>
        </w:rPr>
        <w:t>די</w:t>
      </w:r>
      <w:r>
        <w:rPr>
          <w:rStyle w:val="default"/>
          <w:rFonts w:cs="FrankRuehl" w:hint="cs"/>
          <w:rtl/>
        </w:rPr>
        <w:t>וני הועדה יתנהלו בדלתיים סגורות והחלטותיה יישמרו בסוד, אולם המנהל הכללי רשאי בהתייעצות עם יושב ראש הועדה להתיר פרסום החלטותיה דרך כלל או במקרה מס</w:t>
      </w:r>
      <w:r>
        <w:rPr>
          <w:rStyle w:val="default"/>
          <w:rFonts w:cs="FrankRuehl"/>
          <w:rtl/>
        </w:rPr>
        <w:t>ו</w:t>
      </w:r>
      <w:r>
        <w:rPr>
          <w:rStyle w:val="default"/>
          <w:rFonts w:cs="FrankRuehl" w:hint="cs"/>
          <w:rtl/>
        </w:rPr>
        <w:t>ים אם לדעתו יש לציב</w:t>
      </w:r>
      <w:r>
        <w:rPr>
          <w:rStyle w:val="default"/>
          <w:rFonts w:cs="FrankRuehl"/>
          <w:rtl/>
        </w:rPr>
        <w:t>ור</w:t>
      </w:r>
      <w:r>
        <w:rPr>
          <w:rStyle w:val="default"/>
          <w:rFonts w:cs="FrankRuehl" w:hint="cs"/>
          <w:rtl/>
        </w:rPr>
        <w:t xml:space="preserve"> ענין בכך, ובלבד שלא יימסרו פרטים שיש בהם כדי לזהות את העורר.</w:t>
      </w:r>
    </w:p>
    <w:p w:rsidR="00AF6134" w:rsidRDefault="00AF6134" w:rsidP="00F80955">
      <w:pPr>
        <w:pStyle w:val="P00"/>
        <w:spacing w:before="72"/>
        <w:ind w:left="0" w:right="1134"/>
        <w:rPr>
          <w:rStyle w:val="default"/>
          <w:rFonts w:cs="FrankRuehl"/>
          <w:rtl/>
        </w:rPr>
      </w:pPr>
      <w:bookmarkStart w:id="13" w:name="Seif13"/>
      <w:bookmarkEnd w:id="13"/>
      <w:r>
        <w:rPr>
          <w:lang w:val="he-IL"/>
        </w:rPr>
        <w:pict>
          <v:rect id="_x0000_s1039" style="position:absolute;left:0;text-align:left;margin-left:464.5pt;margin-top:8.05pt;width:75.05pt;height:11.05pt;z-index:251664384" o:allowincell="f" filled="f" stroked="f" strokecolor="lime" strokeweight=".25pt">
            <v:textbox inset="0,0,0,0">
              <w:txbxContent>
                <w:p w:rsidR="00AF6134" w:rsidRDefault="00AF6134">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14.</w:t>
      </w:r>
      <w:r>
        <w:rPr>
          <w:rStyle w:val="big-number"/>
          <w:rFonts w:cs="Miriam"/>
          <w:rtl/>
        </w:rPr>
        <w:tab/>
      </w:r>
      <w:r>
        <w:rPr>
          <w:rStyle w:val="default"/>
          <w:rFonts w:cs="FrankRuehl"/>
          <w:rtl/>
        </w:rPr>
        <w:t>לת</w:t>
      </w:r>
      <w:r>
        <w:rPr>
          <w:rStyle w:val="default"/>
          <w:rFonts w:cs="FrankRuehl" w:hint="cs"/>
          <w:rtl/>
        </w:rPr>
        <w:t>קנות אלה ייקרא "תקנות שירותי הסעד (סדרי הנוהל בועדות ערר), תשכ"ו</w:t>
      </w:r>
      <w:r w:rsidR="00F80955">
        <w:rPr>
          <w:rStyle w:val="default"/>
          <w:rFonts w:cs="FrankRuehl" w:hint="cs"/>
          <w:rtl/>
        </w:rPr>
        <w:t>-</w:t>
      </w:r>
      <w:r>
        <w:rPr>
          <w:rStyle w:val="default"/>
          <w:rFonts w:cs="FrankRuehl"/>
          <w:rtl/>
        </w:rPr>
        <w:t>1965".</w:t>
      </w:r>
    </w:p>
    <w:p w:rsidR="00AF6134" w:rsidRDefault="00AF6134">
      <w:pPr>
        <w:pStyle w:val="P00"/>
        <w:spacing w:before="72"/>
        <w:ind w:left="0" w:right="1134"/>
        <w:rPr>
          <w:rStyle w:val="default"/>
          <w:rFonts w:cs="FrankRuehl" w:hint="cs"/>
          <w:rtl/>
        </w:rPr>
      </w:pPr>
    </w:p>
    <w:p w:rsidR="00F80955" w:rsidRDefault="00F80955">
      <w:pPr>
        <w:pStyle w:val="P00"/>
        <w:spacing w:before="72"/>
        <w:ind w:left="0" w:right="1134"/>
        <w:rPr>
          <w:rStyle w:val="default"/>
          <w:rFonts w:cs="FrankRuehl" w:hint="cs"/>
          <w:rtl/>
        </w:rPr>
      </w:pPr>
    </w:p>
    <w:p w:rsidR="00AF6134" w:rsidRDefault="00AF6134">
      <w:pPr>
        <w:pStyle w:val="sig-0"/>
        <w:ind w:left="0" w:right="1134"/>
        <w:rPr>
          <w:rFonts w:cs="FrankRuehl"/>
          <w:sz w:val="26"/>
          <w:rtl/>
        </w:rPr>
      </w:pPr>
      <w:r>
        <w:rPr>
          <w:rFonts w:cs="FrankRuehl"/>
          <w:sz w:val="26"/>
          <w:rtl/>
        </w:rPr>
        <w:t xml:space="preserve">ג' </w:t>
      </w:r>
      <w:r>
        <w:rPr>
          <w:rFonts w:cs="FrankRuehl" w:hint="cs"/>
          <w:sz w:val="26"/>
          <w:rtl/>
        </w:rPr>
        <w:t>בחשון תשכ"ו (29 באוקטובר 1965)</w:t>
      </w:r>
      <w:r>
        <w:rPr>
          <w:rFonts w:cs="FrankRuehl"/>
          <w:sz w:val="26"/>
          <w:rtl/>
        </w:rPr>
        <w:tab/>
        <w:t>י</w:t>
      </w:r>
      <w:r>
        <w:rPr>
          <w:rFonts w:cs="FrankRuehl" w:hint="cs"/>
          <w:sz w:val="26"/>
          <w:rtl/>
        </w:rPr>
        <w:t>וסף בורג</w:t>
      </w:r>
    </w:p>
    <w:p w:rsidR="00AF6134" w:rsidRDefault="00AF6134">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הסעד</w:t>
      </w:r>
    </w:p>
    <w:p w:rsidR="00AF6134" w:rsidRPr="00F80955" w:rsidRDefault="00AF6134" w:rsidP="00F80955">
      <w:pPr>
        <w:pStyle w:val="P00"/>
        <w:spacing w:before="72"/>
        <w:ind w:left="0" w:right="1134"/>
        <w:rPr>
          <w:rStyle w:val="default"/>
          <w:rFonts w:cs="FrankRuehl"/>
          <w:rtl/>
        </w:rPr>
      </w:pPr>
    </w:p>
    <w:p w:rsidR="00AF6134" w:rsidRPr="00F80955" w:rsidRDefault="00AF6134" w:rsidP="00F80955">
      <w:pPr>
        <w:pStyle w:val="P00"/>
        <w:spacing w:before="72"/>
        <w:ind w:left="0" w:right="1134"/>
        <w:rPr>
          <w:rStyle w:val="default"/>
          <w:rFonts w:cs="FrankRuehl"/>
          <w:rtl/>
        </w:rPr>
      </w:pPr>
      <w:bookmarkStart w:id="14" w:name="LawPartEnd"/>
    </w:p>
    <w:bookmarkEnd w:id="14"/>
    <w:p w:rsidR="00446B1C" w:rsidRPr="00E94A63" w:rsidRDefault="00446B1C" w:rsidP="00446B1C">
      <w:pPr>
        <w:ind w:right="1134"/>
        <w:rPr>
          <w:rFonts w:hint="cs"/>
          <w:sz w:val="14"/>
          <w:szCs w:val="16"/>
          <w:rtl/>
        </w:rPr>
      </w:pPr>
      <w:r w:rsidRPr="00E94A63">
        <w:rPr>
          <w:rFonts w:hint="cs"/>
          <w:sz w:val="14"/>
          <w:szCs w:val="16"/>
          <w:rtl/>
        </w:rPr>
        <w:t>גפני</w:t>
      </w:r>
    </w:p>
    <w:p w:rsidR="00AF6134" w:rsidRPr="00F80955" w:rsidRDefault="00AF6134" w:rsidP="00F80955">
      <w:pPr>
        <w:pStyle w:val="P00"/>
        <w:spacing w:before="72"/>
        <w:ind w:left="0" w:right="1134"/>
        <w:rPr>
          <w:rStyle w:val="default"/>
          <w:rFonts w:cs="FrankRuehl"/>
          <w:rtl/>
        </w:rPr>
      </w:pPr>
    </w:p>
    <w:sectPr w:rsidR="00AF6134" w:rsidRPr="00F80955">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7F0B" w:rsidRDefault="00237F0B">
      <w:r>
        <w:separator/>
      </w:r>
    </w:p>
  </w:endnote>
  <w:endnote w:type="continuationSeparator" w:id="0">
    <w:p w:rsidR="00237F0B" w:rsidRDefault="00237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6134" w:rsidRDefault="00AF613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F6134" w:rsidRDefault="00AF613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F6134" w:rsidRDefault="00AF613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80955">
      <w:rPr>
        <w:rFonts w:cs="TopType Jerushalmi"/>
        <w:noProof/>
        <w:color w:val="000000"/>
        <w:sz w:val="14"/>
        <w:szCs w:val="14"/>
      </w:rPr>
      <w:t>C:\Users\user\Desktop\p171_005.doc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6134" w:rsidRDefault="00AF613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46B1C">
      <w:rPr>
        <w:rFonts w:hAnsi="FrankRuehl" w:cs="FrankRuehl"/>
        <w:noProof/>
        <w:sz w:val="24"/>
        <w:szCs w:val="24"/>
        <w:rtl/>
      </w:rPr>
      <w:t>3</w:t>
    </w:r>
    <w:r>
      <w:rPr>
        <w:rFonts w:hAnsi="FrankRuehl" w:cs="FrankRuehl"/>
        <w:sz w:val="24"/>
        <w:szCs w:val="24"/>
        <w:rtl/>
      </w:rPr>
      <w:fldChar w:fldCharType="end"/>
    </w:r>
  </w:p>
  <w:p w:rsidR="00AF6134" w:rsidRDefault="00AF613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F6134" w:rsidRDefault="00AF613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80955">
      <w:rPr>
        <w:rFonts w:cs="TopType Jerushalmi"/>
        <w:noProof/>
        <w:color w:val="000000"/>
        <w:sz w:val="14"/>
        <w:szCs w:val="14"/>
      </w:rPr>
      <w:t>C:\Users\user\Desktop\p171_005.doc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7F0B" w:rsidRDefault="00237F0B" w:rsidP="00F80955">
      <w:pPr>
        <w:spacing w:before="60" w:line="240" w:lineRule="auto"/>
        <w:ind w:right="1134"/>
      </w:pPr>
      <w:r>
        <w:separator/>
      </w:r>
    </w:p>
  </w:footnote>
  <w:footnote w:type="continuationSeparator" w:id="0">
    <w:p w:rsidR="00237F0B" w:rsidRDefault="00237F0B">
      <w:r>
        <w:continuationSeparator/>
      </w:r>
    </w:p>
  </w:footnote>
  <w:footnote w:id="1">
    <w:p w:rsidR="00F80955" w:rsidRPr="00F80955" w:rsidRDefault="00F80955" w:rsidP="00F809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F80955">
        <w:rPr>
          <w:rFonts w:cs="FrankRuehl"/>
          <w:rtl/>
        </w:rPr>
        <w:t xml:space="preserve">* </w:t>
      </w:r>
      <w:r>
        <w:rPr>
          <w:rFonts w:cs="FrankRuehl"/>
          <w:rtl/>
        </w:rPr>
        <w:t>פו</w:t>
      </w:r>
      <w:r>
        <w:rPr>
          <w:rFonts w:cs="FrankRuehl" w:hint="cs"/>
          <w:rtl/>
        </w:rPr>
        <w:t xml:space="preserve">רסמו </w:t>
      </w:r>
      <w:hyperlink r:id="rId1" w:history="1">
        <w:r w:rsidRPr="00F80955">
          <w:rPr>
            <w:rStyle w:val="Hyperlink"/>
            <w:rFonts w:cs="FrankRuehl" w:hint="cs"/>
            <w:rtl/>
          </w:rPr>
          <w:t>ק"ת תשכ"ו מס' 1803</w:t>
        </w:r>
      </w:hyperlink>
      <w:r>
        <w:rPr>
          <w:rFonts w:cs="FrankRuehl" w:hint="cs"/>
          <w:rtl/>
        </w:rPr>
        <w:t xml:space="preserve"> מיום 2.12.1965 עמ' 364.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6134" w:rsidRDefault="00AF613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שירותי הסעד (סדרי הנוהל בועדות ערר), תשכ"ו–1965</w:t>
    </w:r>
  </w:p>
  <w:p w:rsidR="00AF6134" w:rsidRDefault="00AF613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F6134" w:rsidRDefault="00AF613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6134" w:rsidRDefault="00AF6134" w:rsidP="00F8095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שירותי הסעד (סדרי הנוהל בועדות ערר), תשכ"ו</w:t>
    </w:r>
    <w:r w:rsidR="00F80955">
      <w:rPr>
        <w:rFonts w:hAnsi="FrankRuehl" w:cs="FrankRuehl" w:hint="cs"/>
        <w:color w:val="000000"/>
        <w:sz w:val="28"/>
        <w:szCs w:val="28"/>
        <w:rtl/>
      </w:rPr>
      <w:t>-</w:t>
    </w:r>
    <w:r>
      <w:rPr>
        <w:rFonts w:hAnsi="FrankRuehl" w:cs="FrankRuehl"/>
        <w:color w:val="000000"/>
        <w:sz w:val="28"/>
        <w:szCs w:val="28"/>
        <w:rtl/>
      </w:rPr>
      <w:t>1965</w:t>
    </w:r>
  </w:p>
  <w:p w:rsidR="00AF6134" w:rsidRDefault="00AF613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F6134" w:rsidRDefault="00AF613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28E9"/>
    <w:rsid w:val="00237F0B"/>
    <w:rsid w:val="00446B1C"/>
    <w:rsid w:val="005B28E9"/>
    <w:rsid w:val="00752F99"/>
    <w:rsid w:val="00803426"/>
    <w:rsid w:val="008872C1"/>
    <w:rsid w:val="008E3AFD"/>
    <w:rsid w:val="00944BAF"/>
    <w:rsid w:val="00AF6134"/>
    <w:rsid w:val="00CB2D62"/>
    <w:rsid w:val="00CC1A5B"/>
    <w:rsid w:val="00F8095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89B0271-7814-45DA-9B74-23B00D74B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F80955"/>
    <w:rPr>
      <w:sz w:val="20"/>
      <w:szCs w:val="20"/>
    </w:rPr>
  </w:style>
  <w:style w:type="character" w:styleId="a6">
    <w:name w:val="footnote reference"/>
    <w:basedOn w:val="a0"/>
    <w:semiHidden/>
    <w:rsid w:val="00F809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18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628</Words>
  <Characters>3584</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פרק 171</vt:lpstr>
    </vt:vector>
  </TitlesOfParts>
  <Company/>
  <LinksUpToDate>false</LinksUpToDate>
  <CharactersWithSpaces>4204</CharactersWithSpaces>
  <SharedDoc>false</SharedDoc>
  <HLinks>
    <vt:vector size="90" baseType="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7864323</vt:i4>
      </vt:variant>
      <vt:variant>
        <vt:i4>0</vt:i4>
      </vt:variant>
      <vt:variant>
        <vt:i4>0</vt:i4>
      </vt:variant>
      <vt:variant>
        <vt:i4>5</vt:i4>
      </vt:variant>
      <vt:variant>
        <vt:lpwstr>http://www.nevo.co.il/Law_word/law06/tak-1803.pdf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171</dc:title>
  <dc:subject/>
  <dc:creator>eli</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p171</vt:lpwstr>
  </property>
  <property fmtid="{D5CDD505-2E9C-101B-9397-08002B2CF9AE}" pid="3" name="CHNAME">
    <vt:lpwstr>סעד</vt:lpwstr>
  </property>
  <property fmtid="{D5CDD505-2E9C-101B-9397-08002B2CF9AE}" pid="4" name="LAWNAME">
    <vt:lpwstr>תקנות שירותי הסעד (סדרי הנוהל בועדות ערר), תשכ"ו–1965</vt:lpwstr>
  </property>
  <property fmtid="{D5CDD505-2E9C-101B-9397-08002B2CF9AE}" pid="5" name="LAWNUMBER">
    <vt:lpwstr>0005</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שרותי רווחה</vt:lpwstr>
  </property>
  <property fmtid="{D5CDD505-2E9C-101B-9397-08002B2CF9AE}" pid="9" name="NOSE31">
    <vt:lpwstr>סעד</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שרותי רווחה</vt:lpwstr>
  </property>
  <property fmtid="{D5CDD505-2E9C-101B-9397-08002B2CF9AE}" pid="13" name="NOSE32">
    <vt:lpwstr>סעד</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שירותי הסעד</vt:lpwstr>
  </property>
  <property fmtid="{D5CDD505-2E9C-101B-9397-08002B2CF9AE}" pid="48" name="MEKOR_SAIF1">
    <vt:lpwstr>2XוX</vt:lpwstr>
  </property>
</Properties>
</file>