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11DE" w:rsidRDefault="00A511DE">
      <w:pPr>
        <w:pStyle w:val="big-header"/>
        <w:ind w:left="0" w:right="1134"/>
        <w:rPr>
          <w:rStyle w:val="default"/>
          <w:sz w:val="22"/>
          <w:szCs w:val="22"/>
        </w:rPr>
      </w:pPr>
      <w:r>
        <w:rPr>
          <w:rFonts w:hint="cs"/>
          <w:rtl/>
        </w:rPr>
        <w:t>תקנות שירותי תיירות (חובת גילוי נאות), תשס"ג-2003</w:t>
      </w:r>
      <w:r>
        <w:rPr>
          <w:rStyle w:val="default"/>
          <w:sz w:val="22"/>
          <w:szCs w:val="22"/>
          <w:rtl/>
        </w:rPr>
        <w:footnoteReference w:customMarkFollows="1" w:id="1"/>
        <w:t>*</w:t>
      </w:r>
    </w:p>
    <w:tbl>
      <w:tblPr>
        <w:bidiVisual/>
        <w:tblW w:w="8333" w:type="dxa"/>
        <w:tblLayout w:type="fixed"/>
        <w:tblLook w:val="0000" w:firstRow="0" w:lastRow="0" w:firstColumn="0" w:lastColumn="0" w:noHBand="0" w:noVBand="0"/>
      </w:tblPr>
      <w:tblGrid>
        <w:gridCol w:w="1247"/>
        <w:gridCol w:w="5669"/>
        <w:gridCol w:w="567"/>
        <w:gridCol w:w="850"/>
      </w:tblGrid>
      <w:tr w:rsidR="00BE32D1" w:rsidRPr="00BE32D1" w:rsidTr="00BE32D1">
        <w:tblPrEx>
          <w:tblCellMar>
            <w:top w:w="0" w:type="dxa"/>
            <w:bottom w:w="0" w:type="dxa"/>
          </w:tblCellMar>
        </w:tblPrEx>
        <w:tc>
          <w:tcPr>
            <w:tcW w:w="1247"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הגדרות</w:t>
            </w:r>
          </w:p>
        </w:tc>
        <w:tc>
          <w:tcPr>
            <w:tcW w:w="567" w:type="dxa"/>
          </w:tcPr>
          <w:p w:rsidR="00BE32D1" w:rsidRPr="00BE32D1" w:rsidRDefault="00BE32D1" w:rsidP="00BE32D1">
            <w:pPr>
              <w:spacing w:line="240" w:lineRule="auto"/>
              <w:jc w:val="left"/>
              <w:rPr>
                <w:rStyle w:val="Hyperlink"/>
                <w:rtl/>
              </w:rPr>
            </w:pPr>
            <w:hyperlink w:anchor="Seif1" w:tooltip="הגדרות" w:history="1">
              <w:r w:rsidRPr="00BE32D1">
                <w:rPr>
                  <w:rStyle w:val="Hyperlink"/>
                </w:rPr>
                <w:t>Go</w:t>
              </w:r>
            </w:hyperlink>
          </w:p>
        </w:tc>
        <w:tc>
          <w:tcPr>
            <w:tcW w:w="850" w:type="dxa"/>
          </w:tcPr>
          <w:p w:rsidR="00BE32D1" w:rsidRPr="00BE32D1" w:rsidRDefault="00BE32D1" w:rsidP="00BE32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w:t>
            </w:r>
            <w:r>
              <w:rPr>
                <w:rStyle w:val="default"/>
                <w:rFonts w:cs="Frankruhel"/>
                <w:sz w:val="24"/>
                <w:szCs w:val="24"/>
                <w:rtl/>
              </w:rPr>
              <w:fldChar w:fldCharType="end"/>
            </w:r>
          </w:p>
        </w:tc>
      </w:tr>
      <w:tr w:rsidR="00BE32D1" w:rsidRPr="00BE32D1" w:rsidTr="00BE32D1">
        <w:tblPrEx>
          <w:tblCellMar>
            <w:top w:w="0" w:type="dxa"/>
            <w:bottom w:w="0" w:type="dxa"/>
          </w:tblCellMar>
        </w:tblPrEx>
        <w:tc>
          <w:tcPr>
            <w:tcW w:w="1247"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חובה לגלות מידע</w:t>
            </w:r>
          </w:p>
        </w:tc>
        <w:tc>
          <w:tcPr>
            <w:tcW w:w="567" w:type="dxa"/>
          </w:tcPr>
          <w:p w:rsidR="00BE32D1" w:rsidRPr="00BE32D1" w:rsidRDefault="00BE32D1" w:rsidP="00BE32D1">
            <w:pPr>
              <w:spacing w:line="240" w:lineRule="auto"/>
              <w:jc w:val="left"/>
              <w:rPr>
                <w:rStyle w:val="Hyperlink"/>
                <w:rtl/>
              </w:rPr>
            </w:pPr>
            <w:hyperlink w:anchor="Seif2" w:tooltip="חובה לגלות מידע" w:history="1">
              <w:r w:rsidRPr="00BE32D1">
                <w:rPr>
                  <w:rStyle w:val="Hyperlink"/>
                </w:rPr>
                <w:t>Go</w:t>
              </w:r>
            </w:hyperlink>
          </w:p>
        </w:tc>
        <w:tc>
          <w:tcPr>
            <w:tcW w:w="850" w:type="dxa"/>
          </w:tcPr>
          <w:p w:rsidR="00BE32D1" w:rsidRPr="00BE32D1" w:rsidRDefault="00BE32D1" w:rsidP="00BE32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w:t>
            </w:r>
            <w:r>
              <w:rPr>
                <w:rStyle w:val="default"/>
                <w:rFonts w:cs="Frankruhel"/>
                <w:sz w:val="24"/>
                <w:szCs w:val="24"/>
                <w:rtl/>
              </w:rPr>
              <w:fldChar w:fldCharType="end"/>
            </w:r>
          </w:p>
        </w:tc>
      </w:tr>
      <w:tr w:rsidR="00BE32D1" w:rsidRPr="00BE32D1" w:rsidTr="00BE32D1">
        <w:tblPrEx>
          <w:tblCellMar>
            <w:top w:w="0" w:type="dxa"/>
            <w:bottom w:w="0" w:type="dxa"/>
          </w:tblCellMar>
        </w:tblPrEx>
        <w:tc>
          <w:tcPr>
            <w:tcW w:w="1247"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פרטי מידע</w:t>
            </w:r>
          </w:p>
        </w:tc>
        <w:tc>
          <w:tcPr>
            <w:tcW w:w="567" w:type="dxa"/>
          </w:tcPr>
          <w:p w:rsidR="00BE32D1" w:rsidRPr="00BE32D1" w:rsidRDefault="00BE32D1" w:rsidP="00BE32D1">
            <w:pPr>
              <w:spacing w:line="240" w:lineRule="auto"/>
              <w:jc w:val="left"/>
              <w:rPr>
                <w:rStyle w:val="Hyperlink"/>
                <w:rtl/>
              </w:rPr>
            </w:pPr>
            <w:hyperlink w:anchor="Seif3" w:tooltip="פרטי מידע" w:history="1">
              <w:r w:rsidRPr="00BE32D1">
                <w:rPr>
                  <w:rStyle w:val="Hyperlink"/>
                </w:rPr>
                <w:t>Go</w:t>
              </w:r>
            </w:hyperlink>
          </w:p>
        </w:tc>
        <w:tc>
          <w:tcPr>
            <w:tcW w:w="850" w:type="dxa"/>
          </w:tcPr>
          <w:p w:rsidR="00BE32D1" w:rsidRPr="00BE32D1" w:rsidRDefault="00BE32D1" w:rsidP="00BE32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w:t>
            </w:r>
            <w:r>
              <w:rPr>
                <w:rStyle w:val="default"/>
                <w:rFonts w:cs="Frankruhel"/>
                <w:sz w:val="24"/>
                <w:szCs w:val="24"/>
                <w:rtl/>
              </w:rPr>
              <w:fldChar w:fldCharType="end"/>
            </w:r>
          </w:p>
        </w:tc>
      </w:tr>
      <w:tr w:rsidR="00BE32D1" w:rsidRPr="00BE32D1" w:rsidTr="00BE32D1">
        <w:tblPrEx>
          <w:tblCellMar>
            <w:top w:w="0" w:type="dxa"/>
            <w:bottom w:w="0" w:type="dxa"/>
          </w:tblCellMar>
        </w:tblPrEx>
        <w:tc>
          <w:tcPr>
            <w:tcW w:w="1247"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פרטי מידע מהותי</w:t>
            </w:r>
          </w:p>
        </w:tc>
        <w:tc>
          <w:tcPr>
            <w:tcW w:w="567" w:type="dxa"/>
          </w:tcPr>
          <w:p w:rsidR="00BE32D1" w:rsidRPr="00BE32D1" w:rsidRDefault="00BE32D1" w:rsidP="00BE32D1">
            <w:pPr>
              <w:spacing w:line="240" w:lineRule="auto"/>
              <w:jc w:val="left"/>
              <w:rPr>
                <w:rStyle w:val="Hyperlink"/>
                <w:rtl/>
              </w:rPr>
            </w:pPr>
            <w:hyperlink w:anchor="Seif4" w:tooltip="פרטי מידע מהותי" w:history="1">
              <w:r w:rsidRPr="00BE32D1">
                <w:rPr>
                  <w:rStyle w:val="Hyperlink"/>
                </w:rPr>
                <w:t>Go</w:t>
              </w:r>
            </w:hyperlink>
          </w:p>
        </w:tc>
        <w:tc>
          <w:tcPr>
            <w:tcW w:w="850" w:type="dxa"/>
          </w:tcPr>
          <w:p w:rsidR="00BE32D1" w:rsidRPr="00BE32D1" w:rsidRDefault="00BE32D1" w:rsidP="00BE32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BE32D1" w:rsidRPr="00BE32D1" w:rsidTr="00BE32D1">
        <w:tblPrEx>
          <w:tblCellMar>
            <w:top w:w="0" w:type="dxa"/>
            <w:bottom w:w="0" w:type="dxa"/>
          </w:tblCellMar>
        </w:tblPrEx>
        <w:tc>
          <w:tcPr>
            <w:tcW w:w="1247"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שמירת דינים</w:t>
            </w:r>
          </w:p>
        </w:tc>
        <w:tc>
          <w:tcPr>
            <w:tcW w:w="567" w:type="dxa"/>
          </w:tcPr>
          <w:p w:rsidR="00BE32D1" w:rsidRPr="00BE32D1" w:rsidRDefault="00BE32D1" w:rsidP="00BE32D1">
            <w:pPr>
              <w:spacing w:line="240" w:lineRule="auto"/>
              <w:jc w:val="left"/>
              <w:rPr>
                <w:rStyle w:val="Hyperlink"/>
                <w:rtl/>
              </w:rPr>
            </w:pPr>
            <w:hyperlink w:anchor="Seif5" w:tooltip="שמירת דינים" w:history="1">
              <w:r w:rsidRPr="00BE32D1">
                <w:rPr>
                  <w:rStyle w:val="Hyperlink"/>
                </w:rPr>
                <w:t>Go</w:t>
              </w:r>
            </w:hyperlink>
          </w:p>
        </w:tc>
        <w:tc>
          <w:tcPr>
            <w:tcW w:w="850" w:type="dxa"/>
          </w:tcPr>
          <w:p w:rsidR="00BE32D1" w:rsidRPr="00BE32D1" w:rsidRDefault="00BE32D1" w:rsidP="00BE32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BE32D1" w:rsidRPr="00BE32D1" w:rsidTr="00BE32D1">
        <w:tblPrEx>
          <w:tblCellMar>
            <w:top w:w="0" w:type="dxa"/>
            <w:bottom w:w="0" w:type="dxa"/>
          </w:tblCellMar>
        </w:tblPrEx>
        <w:tc>
          <w:tcPr>
            <w:tcW w:w="1247"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סייג לתחולה</w:t>
            </w:r>
          </w:p>
        </w:tc>
        <w:tc>
          <w:tcPr>
            <w:tcW w:w="567" w:type="dxa"/>
          </w:tcPr>
          <w:p w:rsidR="00BE32D1" w:rsidRPr="00BE32D1" w:rsidRDefault="00BE32D1" w:rsidP="00BE32D1">
            <w:pPr>
              <w:spacing w:line="240" w:lineRule="auto"/>
              <w:jc w:val="left"/>
              <w:rPr>
                <w:rStyle w:val="Hyperlink"/>
                <w:rtl/>
              </w:rPr>
            </w:pPr>
            <w:hyperlink w:anchor="Seif6" w:tooltip="סייג לתחולה" w:history="1">
              <w:r w:rsidRPr="00BE32D1">
                <w:rPr>
                  <w:rStyle w:val="Hyperlink"/>
                </w:rPr>
                <w:t>Go</w:t>
              </w:r>
            </w:hyperlink>
          </w:p>
        </w:tc>
        <w:tc>
          <w:tcPr>
            <w:tcW w:w="850" w:type="dxa"/>
          </w:tcPr>
          <w:p w:rsidR="00BE32D1" w:rsidRPr="00BE32D1" w:rsidRDefault="00BE32D1" w:rsidP="00BE32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BE32D1" w:rsidRPr="00BE32D1" w:rsidTr="00BE32D1">
        <w:tblPrEx>
          <w:tblCellMar>
            <w:top w:w="0" w:type="dxa"/>
            <w:bottom w:w="0" w:type="dxa"/>
          </w:tblCellMar>
        </w:tblPrEx>
        <w:tc>
          <w:tcPr>
            <w:tcW w:w="1247"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BE32D1" w:rsidRPr="00BE32D1" w:rsidRDefault="00BE32D1" w:rsidP="00BE32D1">
            <w:pPr>
              <w:spacing w:line="240" w:lineRule="auto"/>
              <w:jc w:val="left"/>
              <w:rPr>
                <w:rStyle w:val="default"/>
                <w:rFonts w:cs="Frankruhel"/>
                <w:sz w:val="24"/>
                <w:szCs w:val="24"/>
                <w:rtl/>
              </w:rPr>
            </w:pPr>
            <w:r>
              <w:rPr>
                <w:rStyle w:val="default"/>
                <w:sz w:val="24"/>
                <w:szCs w:val="24"/>
                <w:rtl/>
              </w:rPr>
              <w:t>תחילה</w:t>
            </w:r>
          </w:p>
        </w:tc>
        <w:tc>
          <w:tcPr>
            <w:tcW w:w="567" w:type="dxa"/>
          </w:tcPr>
          <w:p w:rsidR="00BE32D1" w:rsidRPr="00BE32D1" w:rsidRDefault="00BE32D1" w:rsidP="00BE32D1">
            <w:pPr>
              <w:spacing w:line="240" w:lineRule="auto"/>
              <w:jc w:val="left"/>
              <w:rPr>
                <w:rStyle w:val="Hyperlink"/>
                <w:rtl/>
              </w:rPr>
            </w:pPr>
            <w:hyperlink w:anchor="Seif7" w:tooltip="תחילה" w:history="1">
              <w:r w:rsidRPr="00BE32D1">
                <w:rPr>
                  <w:rStyle w:val="Hyperlink"/>
                </w:rPr>
                <w:t>Go</w:t>
              </w:r>
            </w:hyperlink>
          </w:p>
        </w:tc>
        <w:tc>
          <w:tcPr>
            <w:tcW w:w="850" w:type="dxa"/>
          </w:tcPr>
          <w:p w:rsidR="00BE32D1" w:rsidRPr="00BE32D1" w:rsidRDefault="00BE32D1" w:rsidP="00BE32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bl>
    <w:p w:rsidR="00237979" w:rsidRPr="00237979" w:rsidRDefault="00237979" w:rsidP="00237979">
      <w:pPr>
        <w:spacing w:line="320" w:lineRule="auto"/>
        <w:jc w:val="left"/>
        <w:rPr>
          <w:rStyle w:val="default"/>
          <w:rFonts w:cs="FrankRuehl"/>
          <w:rtl/>
        </w:rPr>
      </w:pPr>
    </w:p>
    <w:p w:rsidR="00237979" w:rsidRDefault="00237979" w:rsidP="00237979">
      <w:pPr>
        <w:spacing w:line="320" w:lineRule="auto"/>
        <w:jc w:val="left"/>
        <w:rPr>
          <w:rStyle w:val="default"/>
          <w:rFonts w:cs="FrankRuehl"/>
          <w:rtl/>
        </w:rPr>
      </w:pPr>
    </w:p>
    <w:p w:rsidR="00237979" w:rsidRDefault="00237979" w:rsidP="00237979">
      <w:pPr>
        <w:spacing w:line="320" w:lineRule="auto"/>
        <w:jc w:val="left"/>
        <w:rPr>
          <w:rStyle w:val="default"/>
          <w:rFonts w:cs="FrankRuehl"/>
        </w:rPr>
      </w:pPr>
      <w:r w:rsidRPr="00237979">
        <w:rPr>
          <w:rStyle w:val="default"/>
          <w:rFonts w:cs="Miriam"/>
          <w:szCs w:val="22"/>
          <w:rtl/>
        </w:rPr>
        <w:t>רשויות ומשפט מנהלי</w:t>
      </w:r>
      <w:r w:rsidRPr="00237979">
        <w:rPr>
          <w:rStyle w:val="default"/>
          <w:rFonts w:cs="FrankRuehl"/>
          <w:rtl/>
        </w:rPr>
        <w:t xml:space="preserve"> – תיירות</w:t>
      </w:r>
    </w:p>
    <w:p w:rsidR="00237979" w:rsidRPr="00237979" w:rsidRDefault="00237979" w:rsidP="00237979">
      <w:pPr>
        <w:spacing w:line="320" w:lineRule="auto"/>
        <w:jc w:val="left"/>
        <w:rPr>
          <w:rStyle w:val="default"/>
          <w:rFonts w:cs="Miriam" w:hint="cs"/>
          <w:szCs w:val="22"/>
          <w:rtl/>
        </w:rPr>
      </w:pPr>
    </w:p>
    <w:p w:rsidR="00A511DE" w:rsidRDefault="00A511DE">
      <w:pPr>
        <w:pStyle w:val="P00"/>
        <w:spacing w:before="72"/>
        <w:ind w:left="0" w:right="1134"/>
        <w:rPr>
          <w:rStyle w:val="default"/>
          <w:rFonts w:cs="FrankRuehl" w:hint="cs"/>
          <w:rtl/>
        </w:rPr>
      </w:pPr>
      <w:r>
        <w:rPr>
          <w:rStyle w:val="default"/>
          <w:rFonts w:cs="FrankRuehl" w:hint="cs"/>
          <w:rtl/>
        </w:rPr>
        <w:tab/>
        <w:t xml:space="preserve">בתוקף סמכותי לפי סעיפים 12ג ו-24 לחוק שירותי תיירות, התשל"ו-1976 (להלן </w:t>
      </w:r>
      <w:r>
        <w:rPr>
          <w:rStyle w:val="default"/>
          <w:rFonts w:cs="FrankRuehl"/>
          <w:rtl/>
        </w:rPr>
        <w:t>–</w:t>
      </w:r>
      <w:r>
        <w:rPr>
          <w:rStyle w:val="default"/>
          <w:rFonts w:cs="FrankRuehl" w:hint="cs"/>
          <w:rtl/>
        </w:rPr>
        <w:t xml:space="preserve"> החוק), לאחר התייעצות עם הממונה על הגנת הצרכן כהגדרתו בחוק הגנת הצרכן, התשמ"א-1981 (להלן </w:t>
      </w:r>
      <w:r>
        <w:rPr>
          <w:rStyle w:val="default"/>
          <w:rFonts w:cs="FrankRuehl"/>
          <w:rtl/>
        </w:rPr>
        <w:t>–</w:t>
      </w:r>
      <w:r>
        <w:rPr>
          <w:rStyle w:val="default"/>
          <w:rFonts w:cs="FrankRuehl" w:hint="cs"/>
          <w:rtl/>
        </w:rPr>
        <w:t xml:space="preserve"> חוק הגנת הצרכן), ובאישור ועדת הכלכלה של הכנסת, אני מתקין תקנות אלה:</w:t>
      </w:r>
    </w:p>
    <w:p w:rsidR="00A511DE" w:rsidRDefault="00A511DE">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4pt;z-index:251654656" o:allowincell="f" filled="f" stroked="f" strokecolor="lime" strokeweight=".25pt">
            <v:textbox style="mso-next-textbox:#_x0000_s1026" inset="0,0,0,0">
              <w:txbxContent>
                <w:p w:rsidR="00A511DE" w:rsidRDefault="00A511DE">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A511DE" w:rsidRDefault="00A511DE">
      <w:pPr>
        <w:pStyle w:val="P00"/>
        <w:spacing w:before="72"/>
        <w:ind w:left="0" w:right="1134"/>
        <w:rPr>
          <w:rStyle w:val="default"/>
          <w:rFonts w:cs="FrankRuehl" w:hint="cs"/>
          <w:rtl/>
        </w:rPr>
      </w:pPr>
      <w:r>
        <w:rPr>
          <w:rStyle w:val="default"/>
          <w:rFonts w:cs="FrankRuehl" w:hint="cs"/>
          <w:rtl/>
        </w:rPr>
        <w:tab/>
        <w:t xml:space="preserve">"חבילת תיור" </w:t>
      </w:r>
      <w:r>
        <w:rPr>
          <w:rStyle w:val="default"/>
          <w:rFonts w:cs="FrankRuehl"/>
          <w:rtl/>
        </w:rPr>
        <w:t>–</w:t>
      </w:r>
      <w:r>
        <w:rPr>
          <w:rStyle w:val="default"/>
          <w:rFonts w:cs="FrankRuehl" w:hint="cs"/>
          <w:rtl/>
        </w:rPr>
        <w:t xml:space="preserve"> צירוף של שניים או יותר משירותי סוכנות נסיעות, ולרבות שירותי מורה דרך, הנמכר או מוצע למכירה במחיר כולל, והוא לתקופה של יותר מעשרים וארבע שעות או שנכללה בו לינת לילה, למעט שירות שלקוח נקב לגביו את נותן השירות במפורש ושהוזמן ביזמתו לפי תכנית או פרטים שהוא הכין וביקש;</w:t>
      </w:r>
    </w:p>
    <w:p w:rsidR="00A511DE" w:rsidRDefault="00A511DE">
      <w:pPr>
        <w:pStyle w:val="P00"/>
        <w:spacing w:before="72"/>
        <w:ind w:left="0" w:right="1134"/>
        <w:rPr>
          <w:rStyle w:val="default"/>
          <w:rFonts w:cs="FrankRuehl" w:hint="cs"/>
          <w:rtl/>
        </w:rPr>
      </w:pPr>
      <w:r>
        <w:rPr>
          <w:rStyle w:val="default"/>
          <w:rFonts w:cs="FrankRuehl" w:hint="cs"/>
          <w:rtl/>
        </w:rPr>
        <w:tab/>
        <w:t xml:space="preserve">"טיסת שכר" </w:t>
      </w:r>
      <w:r>
        <w:rPr>
          <w:rStyle w:val="default"/>
          <w:rFonts w:cs="FrankRuehl"/>
          <w:rtl/>
        </w:rPr>
        <w:t>–</w:t>
      </w:r>
      <w:r>
        <w:rPr>
          <w:rStyle w:val="default"/>
          <w:rFonts w:cs="FrankRuehl" w:hint="cs"/>
          <w:rtl/>
        </w:rPr>
        <w:t xml:space="preserve"> כהגדרתה בתקנות רישוי שירותי תעופה (טיסות שכר), התשמ"ב-1982;</w:t>
      </w:r>
    </w:p>
    <w:p w:rsidR="00A511DE" w:rsidRDefault="00A511DE">
      <w:pPr>
        <w:pStyle w:val="P00"/>
        <w:spacing w:before="72"/>
        <w:ind w:left="0" w:right="1134"/>
        <w:rPr>
          <w:rStyle w:val="default"/>
          <w:rFonts w:cs="FrankRuehl" w:hint="cs"/>
          <w:rtl/>
        </w:rPr>
      </w:pPr>
      <w:r>
        <w:rPr>
          <w:rStyle w:val="default"/>
          <w:rFonts w:cs="FrankRuehl" w:hint="cs"/>
          <w:rtl/>
        </w:rPr>
        <w:tab/>
        <w:t xml:space="preserve">"סוכנות נסיעות" </w:t>
      </w:r>
      <w:r>
        <w:rPr>
          <w:rStyle w:val="default"/>
          <w:rFonts w:cs="FrankRuehl"/>
          <w:rtl/>
        </w:rPr>
        <w:t>–</w:t>
      </w:r>
      <w:r>
        <w:rPr>
          <w:rStyle w:val="default"/>
          <w:rFonts w:cs="FrankRuehl" w:hint="cs"/>
          <w:rtl/>
        </w:rPr>
        <w:t xml:space="preserve"> נותן שירותי סוכנות נסיכות כהגדרתם בחוק.</w:t>
      </w:r>
    </w:p>
    <w:p w:rsidR="00A511DE" w:rsidRDefault="00A511DE">
      <w:pPr>
        <w:pStyle w:val="P00"/>
        <w:spacing w:before="72"/>
        <w:ind w:left="0" w:right="1134"/>
        <w:rPr>
          <w:rStyle w:val="default"/>
          <w:rFonts w:cs="FrankRuehl" w:hint="cs"/>
          <w:rtl/>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26" type="#_x0000_t202" style="position:absolute;left:0;text-align:left;margin-left:470.25pt;margin-top:4.95pt;width:1in;height:14.8pt;z-index:251655680" filled="f" stroked="f">
            <v:textbox inset="1mm,,1mm">
              <w:txbxContent>
                <w:p w:rsidR="00A511DE" w:rsidRDefault="00A511DE">
                  <w:pPr>
                    <w:spacing w:line="160" w:lineRule="exact"/>
                    <w:jc w:val="left"/>
                    <w:rPr>
                      <w:rFonts w:cs="Miriam" w:hint="cs"/>
                      <w:szCs w:val="18"/>
                      <w:rtl/>
                    </w:rPr>
                  </w:pPr>
                  <w:r>
                    <w:rPr>
                      <w:rFonts w:cs="Miriam" w:hint="cs"/>
                      <w:szCs w:val="18"/>
                      <w:rtl/>
                    </w:rPr>
                    <w:t>חובה לגלות מידע</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 xml:space="preserve">סוכנות נסיעות תיתן למי שרוכש חבילת תיור שהיא מוכרת (להלן </w:t>
      </w:r>
      <w:r>
        <w:rPr>
          <w:rStyle w:val="default"/>
          <w:rFonts w:cs="FrankRuehl"/>
          <w:rtl/>
        </w:rPr>
        <w:t>–</w:t>
      </w:r>
      <w:r>
        <w:rPr>
          <w:rStyle w:val="default"/>
          <w:rFonts w:cs="FrankRuehl" w:hint="cs"/>
          <w:rtl/>
        </w:rPr>
        <w:t xml:space="preserve"> לקוח) או למבקש לרכוש חבילת תיור כאמור, מידע בכתב בכל הנוגע לשירותים הניתנים במסגרת חבילת התיור.</w:t>
      </w:r>
    </w:p>
    <w:p w:rsidR="00A511DE" w:rsidRDefault="00A511D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מידע כאמור בתקנת משנה (א), יימסר באופן שיאפשר הזדמנות סבירה לעיין בו לפני רכישת חבילת התיור, ככל שניתן בנסיבות הענין.</w:t>
      </w:r>
    </w:p>
    <w:p w:rsidR="00A511DE" w:rsidRDefault="00A511DE">
      <w:pPr>
        <w:pStyle w:val="P00"/>
        <w:spacing w:before="72"/>
        <w:ind w:left="0" w:right="1134"/>
        <w:rPr>
          <w:rStyle w:val="default"/>
          <w:rFonts w:cs="FrankRuehl" w:hint="cs"/>
          <w:rtl/>
        </w:rPr>
      </w:pPr>
      <w:bookmarkStart w:id="2" w:name="Seif3"/>
      <w:bookmarkEnd w:id="2"/>
      <w:r>
        <w:rPr>
          <w:rFonts w:cs="Miriam"/>
          <w:szCs w:val="32"/>
          <w:rtl/>
          <w:lang w:val="he-IL"/>
        </w:rPr>
        <w:pict>
          <v:shape id="_x0000_s1127" type="#_x0000_t202" style="position:absolute;left:0;text-align:left;margin-left:470.25pt;margin-top:2.6pt;width:1in;height:16.2pt;z-index:251656704" filled="f" stroked="f">
            <v:textbox inset="1mm,,1mm">
              <w:txbxContent>
                <w:p w:rsidR="00A511DE" w:rsidRDefault="00A511DE">
                  <w:pPr>
                    <w:spacing w:line="160" w:lineRule="exact"/>
                    <w:jc w:val="left"/>
                    <w:rPr>
                      <w:rFonts w:cs="Miriam" w:hint="cs"/>
                      <w:szCs w:val="18"/>
                      <w:rtl/>
                    </w:rPr>
                  </w:pPr>
                  <w:r>
                    <w:rPr>
                      <w:rFonts w:cs="Miriam" w:hint="cs"/>
                      <w:szCs w:val="18"/>
                      <w:rtl/>
                    </w:rPr>
                    <w:t>פרטי מידע</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פרטי המידע שחובה על סוכנות נסיעות לגלותם לפי תקנה 2 הם כמפורט להלן:</w:t>
      </w:r>
    </w:p>
    <w:p w:rsidR="00A511DE" w:rsidRDefault="00A511D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כל אחד משירותי סוכנות הנסיעות המרכיבים את חבילת התיור:</w:t>
      </w:r>
    </w:p>
    <w:p w:rsidR="00A511DE" w:rsidRDefault="00A511D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מקומות הלינה, שמותיהם, וכן דירוגם או רמתם, מעניהם וכן מספרי הטלפון שלהם;</w:t>
      </w:r>
    </w:p>
    <w:p w:rsidR="00A511DE" w:rsidRDefault="00A511D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מסלולי טיול ואתרי ביקור;</w:t>
      </w:r>
    </w:p>
    <w:p w:rsidR="00A511DE" w:rsidRDefault="00A511D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אמצעי תחבורה בישראל ובחוץ לארץ, לרבות טיסות פנים ואמצעי תחבורה יבשתיים או ימיים, וכן זהות המוביל או המארגן בטיסות לרבות טיסות שכר;</w:t>
      </w:r>
    </w:p>
    <w:p w:rsidR="00A511DE" w:rsidRDefault="00A511DE">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מספר הארוחות בכל יום;</w:t>
      </w:r>
    </w:p>
    <w:p w:rsidR="00A511DE" w:rsidRDefault="00A511DE">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התנאים והמועדים שבהם רשאית סוכנות הנסיעות לבטל את חבילת התיור;</w:t>
      </w:r>
    </w:p>
    <w:p w:rsidR="00A511DE" w:rsidRDefault="00A511D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מחיר:</w:t>
      </w:r>
    </w:p>
    <w:p w:rsidR="00A511DE" w:rsidRDefault="00A511D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המחיר הכולל כהגדרתו בסעיף 17א לחוק הגנת הצרכן, לרבות תשלומים שיש לשלם בחוץ לארץ;</w:t>
      </w:r>
    </w:p>
    <w:p w:rsidR="00A511DE" w:rsidRDefault="00A511D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אם הרכישה של חבילת התיור נעשית בתשלומים </w:t>
      </w:r>
      <w:r>
        <w:rPr>
          <w:rStyle w:val="default"/>
          <w:rFonts w:cs="FrankRuehl"/>
          <w:rtl/>
        </w:rPr>
        <w:t>–</w:t>
      </w:r>
      <w:r>
        <w:rPr>
          <w:rStyle w:val="default"/>
          <w:rFonts w:cs="FrankRuehl" w:hint="cs"/>
          <w:rtl/>
        </w:rPr>
        <w:t xml:space="preserve"> שיעור הריבית ודרך חישובה, ותנאי הצמדת התשלומים;</w:t>
      </w:r>
    </w:p>
    <w:p w:rsidR="00A511DE" w:rsidRDefault="00A511DE">
      <w:pPr>
        <w:pStyle w:val="P00"/>
        <w:spacing w:before="72"/>
        <w:ind w:left="1021" w:right="1134"/>
        <w:rPr>
          <w:rStyle w:val="default"/>
          <w:rFonts w:cs="FrankRuehl" w:hint="cs"/>
          <w:rtl/>
        </w:rPr>
      </w:pPr>
      <w:r>
        <w:rPr>
          <w:rStyle w:val="default"/>
          <w:rFonts w:cs="FrankRuehl" w:hint="cs"/>
          <w:rtl/>
        </w:rPr>
        <w:lastRenderedPageBreak/>
        <w:t>(ג)</w:t>
      </w:r>
      <w:r>
        <w:rPr>
          <w:rStyle w:val="default"/>
          <w:rFonts w:cs="FrankRuehl" w:hint="cs"/>
          <w:rtl/>
        </w:rPr>
        <w:tab/>
        <w:t>החזרת הכספים במקרה של ביטול חבילת התיור ששולמו לסוכנות הנסיעות, דרך התשלום ותנאי הצמדתו;</w:t>
      </w:r>
    </w:p>
    <w:p w:rsidR="00A511DE" w:rsidRDefault="00A511DE">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מועדים ותנאים אפשריים לביטול רכישת חבילת התיור בידי הלקוח ואם עליו לשלם בשל ביטול כאמור </w:t>
      </w:r>
      <w:r>
        <w:rPr>
          <w:rStyle w:val="default"/>
          <w:rFonts w:cs="FrankRuehl"/>
          <w:rtl/>
        </w:rPr>
        <w:t>–</w:t>
      </w:r>
      <w:r>
        <w:rPr>
          <w:rStyle w:val="default"/>
          <w:rFonts w:cs="FrankRuehl" w:hint="cs"/>
          <w:rtl/>
        </w:rPr>
        <w:t xml:space="preserve"> שיעור התשלום;</w:t>
      </w:r>
    </w:p>
    <w:p w:rsidR="00A511DE" w:rsidRDefault="00A511D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מידע כללי:</w:t>
      </w:r>
    </w:p>
    <w:p w:rsidR="00A511DE" w:rsidRDefault="00A511D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אופן הבטחת כספי הלקוחות לפי סעיף 12א לחוק;</w:t>
      </w:r>
    </w:p>
    <w:p w:rsidR="00A511DE" w:rsidRDefault="00A511D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מידע הנחוץ לשם יציאה מהארץ וכניסה למדינות הנכללות בחבילת התיור (להלן </w:t>
      </w:r>
      <w:r>
        <w:rPr>
          <w:rStyle w:val="default"/>
          <w:rFonts w:cs="FrankRuehl"/>
          <w:rtl/>
        </w:rPr>
        <w:t>–</w:t>
      </w:r>
      <w:r>
        <w:rPr>
          <w:rStyle w:val="default"/>
          <w:rFonts w:cs="FrankRuehl" w:hint="cs"/>
          <w:rtl/>
        </w:rPr>
        <w:t xml:space="preserve"> מדינות היעד), לרבות תקופת תוקף דרכונים, הצורך באשרות כניסה, וכל דרישת אחרת של מדינות היעד המהווה תנאי כניסה אליהן;</w:t>
      </w:r>
    </w:p>
    <w:p w:rsidR="00A511DE" w:rsidRDefault="00A511D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מידע שבידי סוכנות הנסיעות שקרוב לוודאי להניח שלו ידע אותו הלקוח היה נמנע מרכישת חבילת התיור;</w:t>
      </w:r>
    </w:p>
    <w:p w:rsidR="00A511DE" w:rsidRDefault="00A511DE">
      <w:pPr>
        <w:pStyle w:val="P00"/>
        <w:spacing w:before="72"/>
        <w:ind w:left="624" w:right="1134"/>
        <w:rPr>
          <w:rStyle w:val="default"/>
          <w:rFonts w:cs="FrankRuehl" w:hint="cs"/>
          <w:rtl/>
        </w:rPr>
      </w:pPr>
      <w:r>
        <w:rPr>
          <w:rStyle w:val="default"/>
          <w:rFonts w:cs="FrankRuehl" w:hint="cs"/>
          <w:rtl/>
        </w:rPr>
        <w:t>(ד)</w:t>
      </w:r>
      <w:r>
        <w:rPr>
          <w:rStyle w:val="default"/>
          <w:rFonts w:cs="FrankRuehl" w:hint="cs"/>
          <w:rtl/>
        </w:rPr>
        <w:tab/>
        <w:t>מידע שנותנות הרשויות בישראל לסוכנויות נסיעות על מדינות יעד מסוכנות או על דרישות לחיסונים;</w:t>
      </w:r>
    </w:p>
    <w:p w:rsidR="00A511DE" w:rsidRDefault="00A511DE">
      <w:pPr>
        <w:pStyle w:val="P00"/>
        <w:spacing w:before="72"/>
        <w:ind w:left="624" w:right="1134"/>
        <w:rPr>
          <w:rStyle w:val="default"/>
          <w:rFonts w:cs="FrankRuehl" w:hint="cs"/>
          <w:rtl/>
        </w:rPr>
      </w:pPr>
      <w:r>
        <w:rPr>
          <w:rStyle w:val="default"/>
          <w:rFonts w:cs="FrankRuehl" w:hint="cs"/>
          <w:rtl/>
        </w:rPr>
        <w:t>(ה)</w:t>
      </w:r>
      <w:r>
        <w:rPr>
          <w:rStyle w:val="default"/>
          <w:rFonts w:cs="FrankRuehl" w:hint="cs"/>
          <w:rtl/>
        </w:rPr>
        <w:tab/>
        <w:t xml:space="preserve">שמות נציגי סוכנות הנסיעות במדינות היעד, מעניהם, או מספרי הטלפון שלהם; באין נציג כאמור במדינות היעד </w:t>
      </w:r>
      <w:r>
        <w:rPr>
          <w:rStyle w:val="default"/>
          <w:rFonts w:cs="FrankRuehl"/>
          <w:rtl/>
        </w:rPr>
        <w:t>–</w:t>
      </w:r>
      <w:r>
        <w:rPr>
          <w:rStyle w:val="default"/>
          <w:rFonts w:cs="FrankRuehl" w:hint="cs"/>
          <w:rtl/>
        </w:rPr>
        <w:t xml:space="preserve"> מען ומספר טלפון בישראל לבירור ענינים ופרטים מהותיים הקשורים בחבילת התיור;</w:t>
      </w:r>
    </w:p>
    <w:p w:rsidR="00A511DE" w:rsidRDefault="00A511DE">
      <w:pPr>
        <w:pStyle w:val="P00"/>
        <w:spacing w:before="72"/>
        <w:ind w:left="624" w:right="1134"/>
        <w:rPr>
          <w:rStyle w:val="default"/>
          <w:rFonts w:cs="FrankRuehl" w:hint="cs"/>
          <w:rtl/>
        </w:rPr>
      </w:pPr>
      <w:r>
        <w:rPr>
          <w:rStyle w:val="default"/>
          <w:rFonts w:cs="FrankRuehl" w:hint="cs"/>
          <w:rtl/>
        </w:rPr>
        <w:t>(ו)</w:t>
      </w:r>
      <w:r>
        <w:rPr>
          <w:rStyle w:val="default"/>
          <w:rFonts w:cs="FrankRuehl" w:hint="cs"/>
          <w:rtl/>
        </w:rPr>
        <w:tab/>
        <w:t>לגבי לקוח שלא מלאו לו 18 שנים הנוסע בחבילת תיור לבדו, תמסור סוכנות הנסיעות להוריו או לאפוטרופסו, לפי בקשתם, ככל האפשר, מידע על אופן יצרת קשר עמו במדינות היעד;</w:t>
      </w:r>
    </w:p>
    <w:p w:rsidR="00A511DE" w:rsidRDefault="00A511DE">
      <w:pPr>
        <w:pStyle w:val="P00"/>
        <w:spacing w:before="72"/>
        <w:ind w:left="624" w:right="1134"/>
        <w:rPr>
          <w:rStyle w:val="default"/>
          <w:rFonts w:cs="FrankRuehl" w:hint="cs"/>
          <w:rtl/>
        </w:rPr>
      </w:pPr>
      <w:r>
        <w:rPr>
          <w:rStyle w:val="default"/>
          <w:rFonts w:cs="FrankRuehl" w:hint="cs"/>
          <w:rtl/>
        </w:rPr>
        <w:t>(ז)</w:t>
      </w:r>
      <w:r>
        <w:rPr>
          <w:rStyle w:val="default"/>
          <w:rFonts w:cs="FrankRuehl" w:hint="cs"/>
          <w:rtl/>
        </w:rPr>
        <w:tab/>
        <w:t>השירותים שניתנת ללקוח אפשרות מעשית לוותר עליהם בעת רכישת חבילת התיור.</w:t>
      </w:r>
    </w:p>
    <w:p w:rsidR="00A511DE" w:rsidRDefault="00A511DE">
      <w:pPr>
        <w:pStyle w:val="P00"/>
        <w:spacing w:before="72"/>
        <w:ind w:left="0" w:right="1134"/>
        <w:rPr>
          <w:rStyle w:val="default"/>
          <w:rFonts w:cs="FrankRuehl" w:hint="cs"/>
          <w:rtl/>
        </w:rPr>
      </w:pPr>
      <w:bookmarkStart w:id="3" w:name="Seif4"/>
      <w:bookmarkEnd w:id="3"/>
      <w:r>
        <w:rPr>
          <w:rFonts w:cs="Miriam"/>
          <w:szCs w:val="32"/>
          <w:rtl/>
          <w:lang w:val="he-IL"/>
        </w:rPr>
        <w:pict>
          <v:shape id="_x0000_s1128" type="#_x0000_t202" style="position:absolute;left:0;text-align:left;margin-left:470.25pt;margin-top:3.7pt;width:1in;height:16.35pt;z-index:251657728" filled="f" stroked="f">
            <v:textbox style="mso-next-textbox:#_x0000_s1128" inset="1mm,,1mm">
              <w:txbxContent>
                <w:p w:rsidR="00A511DE" w:rsidRDefault="00A511DE">
                  <w:pPr>
                    <w:spacing w:line="160" w:lineRule="exact"/>
                    <w:jc w:val="left"/>
                    <w:rPr>
                      <w:rFonts w:cs="Miriam" w:hint="cs"/>
                      <w:szCs w:val="18"/>
                      <w:rtl/>
                    </w:rPr>
                  </w:pPr>
                  <w:r>
                    <w:rPr>
                      <w:rFonts w:cs="Miriam" w:hint="cs"/>
                      <w:szCs w:val="18"/>
                      <w:rtl/>
                    </w:rPr>
                    <w:t>פרטי מידע מהותי</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מידע שהוא ענין מהותי לצורך סעיף 13(ה) לחוק, הוא מידע כאמור בתקנה 3(1), 2(א) ו-(ד), 3(א) עד (ד) ו-(ז).</w:t>
      </w:r>
    </w:p>
    <w:p w:rsidR="00A511DE" w:rsidRDefault="00A511DE">
      <w:pPr>
        <w:pStyle w:val="P00"/>
        <w:spacing w:before="72"/>
        <w:ind w:left="0" w:right="1134"/>
        <w:rPr>
          <w:rStyle w:val="default"/>
          <w:rFonts w:cs="FrankRuehl" w:hint="cs"/>
          <w:rtl/>
        </w:rPr>
      </w:pPr>
      <w:bookmarkStart w:id="4" w:name="Seif5"/>
      <w:bookmarkEnd w:id="4"/>
      <w:r>
        <w:rPr>
          <w:rFonts w:cs="Miriam"/>
          <w:szCs w:val="32"/>
          <w:rtl/>
          <w:lang w:val="he-IL"/>
        </w:rPr>
        <w:pict>
          <v:shape id="_x0000_s1129" type="#_x0000_t202" style="position:absolute;left:0;text-align:left;margin-left:470.25pt;margin-top:2.45pt;width:1in;height:17.35pt;z-index:251658752" filled="f" stroked="f">
            <v:textbox inset="1mm,,1mm">
              <w:txbxContent>
                <w:p w:rsidR="00A511DE" w:rsidRDefault="00A511DE">
                  <w:pPr>
                    <w:spacing w:line="160" w:lineRule="exact"/>
                    <w:jc w:val="left"/>
                    <w:rPr>
                      <w:rFonts w:cs="Miriam" w:hint="cs"/>
                      <w:szCs w:val="18"/>
                      <w:rtl/>
                    </w:rPr>
                  </w:pPr>
                  <w:r>
                    <w:rPr>
                      <w:rFonts w:cs="Miriam" w:hint="cs"/>
                      <w:szCs w:val="18"/>
                      <w:rtl/>
                    </w:rPr>
                    <w:t>שמירת דינים</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תקנות אלה באות להוסיף על כל דין ולא לגרוע ממנו.</w:t>
      </w:r>
    </w:p>
    <w:p w:rsidR="00A511DE" w:rsidRDefault="00A511DE">
      <w:pPr>
        <w:pStyle w:val="P00"/>
        <w:spacing w:before="72"/>
        <w:ind w:left="0" w:right="1134"/>
        <w:rPr>
          <w:rStyle w:val="default"/>
          <w:rFonts w:cs="FrankRuehl" w:hint="cs"/>
          <w:rtl/>
        </w:rPr>
      </w:pPr>
      <w:bookmarkStart w:id="5" w:name="Seif6"/>
      <w:bookmarkEnd w:id="5"/>
      <w:r>
        <w:rPr>
          <w:rFonts w:cs="Miriam"/>
          <w:szCs w:val="32"/>
          <w:rtl/>
          <w:lang w:val="he-IL"/>
        </w:rPr>
        <w:pict>
          <v:shape id="_x0000_s1172" type="#_x0000_t202" style="position:absolute;left:0;text-align:left;margin-left:470.25pt;margin-top:6.4pt;width:1in;height:16.8pt;z-index:251659776" filled="f" stroked="f">
            <v:textbox inset="1mm,,1mm">
              <w:txbxContent>
                <w:p w:rsidR="00A511DE" w:rsidRDefault="00A511DE">
                  <w:pPr>
                    <w:spacing w:line="160" w:lineRule="exact"/>
                    <w:jc w:val="left"/>
                    <w:rPr>
                      <w:rFonts w:cs="Miriam" w:hint="cs"/>
                      <w:szCs w:val="18"/>
                      <w:rtl/>
                    </w:rPr>
                  </w:pPr>
                  <w:r>
                    <w:rPr>
                      <w:rFonts w:cs="Miriam" w:hint="cs"/>
                      <w:szCs w:val="18"/>
                      <w:rtl/>
                    </w:rPr>
                    <w:t>סייג לתחולה</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 xml:space="preserve">הוראות תקנה 2 לא יחולו </w:t>
      </w:r>
      <w:r>
        <w:rPr>
          <w:rStyle w:val="default"/>
          <w:rFonts w:cs="FrankRuehl"/>
          <w:rtl/>
        </w:rPr>
        <w:t>–</w:t>
      </w:r>
    </w:p>
    <w:p w:rsidR="00A511DE" w:rsidRDefault="00A511D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לגבי לקוח או מי שמבקש לרכוש חבילת תיור בתוך 72 השעות קודם ליציאתו את הארץ, זולת אם הודיע לסוכנות הנסיעות על דרך למסירת המידע בכתב בפרק הזמן האמור;</w:t>
      </w:r>
    </w:p>
    <w:p w:rsidR="00A511DE" w:rsidRDefault="00A511D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לגבי לקוח המזמין חבילת תיור באמצעות הטלפון, ובלבד שסוכנות הנסיעות הביאה לידיעת הלקוח, כי הוא רשאי לקבל את המידע בהתאם להוראות תקנה 2 אם יבקש זאת בפניה אליה, בדרך כלשהי בכתב.</w:t>
      </w:r>
    </w:p>
    <w:p w:rsidR="00A511DE" w:rsidRDefault="00A511DE">
      <w:pPr>
        <w:pStyle w:val="P00"/>
        <w:spacing w:before="72"/>
        <w:ind w:left="0" w:right="1134"/>
        <w:rPr>
          <w:rStyle w:val="default"/>
          <w:rFonts w:cs="FrankRuehl" w:hint="cs"/>
          <w:rtl/>
        </w:rPr>
      </w:pPr>
      <w:bookmarkStart w:id="6" w:name="Seif7"/>
      <w:bookmarkEnd w:id="6"/>
      <w:r>
        <w:rPr>
          <w:rFonts w:cs="Miriam"/>
          <w:szCs w:val="32"/>
          <w:rtl/>
          <w:lang w:val="he-IL"/>
        </w:rPr>
        <w:pict>
          <v:shape id="_x0000_s1173" type="#_x0000_t202" style="position:absolute;left:0;text-align:left;margin-left:470.25pt;margin-top:2.1pt;width:1in;height:16.8pt;z-index:251660800" filled="f" stroked="f">
            <v:textbox inset="1mm,,1mm">
              <w:txbxContent>
                <w:p w:rsidR="00A511DE" w:rsidRDefault="00A511DE">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תחילתן של תקנות אלה 90 ימים מיום פרסומן.</w:t>
      </w:r>
    </w:p>
    <w:p w:rsidR="00A511DE" w:rsidRDefault="00A511DE">
      <w:pPr>
        <w:pStyle w:val="P00"/>
        <w:spacing w:before="72"/>
        <w:ind w:left="0" w:right="1134"/>
        <w:rPr>
          <w:rStyle w:val="default"/>
          <w:rFonts w:cs="FrankRuehl" w:hint="cs"/>
          <w:rtl/>
        </w:rPr>
      </w:pPr>
    </w:p>
    <w:p w:rsidR="00A511DE" w:rsidRDefault="00A511DE">
      <w:pPr>
        <w:pStyle w:val="P00"/>
        <w:spacing w:before="72"/>
        <w:ind w:left="0" w:right="1134"/>
        <w:rPr>
          <w:rStyle w:val="default"/>
          <w:rFonts w:cs="FrankRuehl" w:hint="cs"/>
          <w:rtl/>
        </w:rPr>
      </w:pPr>
    </w:p>
    <w:p w:rsidR="00A511DE" w:rsidRDefault="00A511DE" w:rsidP="00F129CE">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6"/>
          <w:rtl/>
        </w:rPr>
      </w:pPr>
      <w:r>
        <w:rPr>
          <w:rStyle w:val="default"/>
          <w:rFonts w:cs="FrankRuehl" w:hint="cs"/>
          <w:rtl/>
        </w:rPr>
        <w:t>ג' באדר א' התשס"ג (5 בפברואר 2003)</w:t>
      </w:r>
      <w:r>
        <w:rPr>
          <w:rStyle w:val="default"/>
          <w:rFonts w:cs="FrankRuehl" w:hint="cs"/>
          <w:sz w:val="26"/>
          <w:rtl/>
        </w:rPr>
        <w:tab/>
        <w:t>יצחק לוי</w:t>
      </w:r>
    </w:p>
    <w:p w:rsidR="00BE32D1" w:rsidRDefault="00A511DE" w:rsidP="00F129CE">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sz w:val="22"/>
          <w:szCs w:val="22"/>
          <w:rtl/>
        </w:rPr>
      </w:pPr>
      <w:r>
        <w:rPr>
          <w:rStyle w:val="default"/>
          <w:rFonts w:cs="FrankRuehl" w:hint="cs"/>
          <w:sz w:val="22"/>
          <w:szCs w:val="22"/>
          <w:rtl/>
        </w:rPr>
        <w:tab/>
        <w:t>שר התיירות</w:t>
      </w:r>
    </w:p>
    <w:p w:rsidR="00BE32D1" w:rsidRDefault="00BE32D1" w:rsidP="00F129CE">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sz w:val="22"/>
          <w:szCs w:val="22"/>
          <w:rtl/>
        </w:rPr>
      </w:pPr>
    </w:p>
    <w:p w:rsidR="00BE32D1" w:rsidRDefault="00BE32D1" w:rsidP="00BE32D1">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Style w:val="default"/>
          <w:rFonts w:cs="David"/>
          <w:color w:val="0000FF"/>
          <w:sz w:val="22"/>
          <w:szCs w:val="24"/>
          <w:u w:val="single"/>
          <w:rtl/>
        </w:rPr>
      </w:pPr>
      <w:hyperlink r:id="rId6" w:history="1">
        <w:r>
          <w:rPr>
            <w:rStyle w:val="default"/>
            <w:rFonts w:cs="David"/>
            <w:color w:val="0000FF"/>
            <w:sz w:val="22"/>
            <w:szCs w:val="24"/>
            <w:u w:val="single"/>
            <w:rtl/>
          </w:rPr>
          <w:t>הודעה למנויים על עריכה ושינויים במסמכי פסיקה, חקיקה ועוד באתר נבו - הקש כאן</w:t>
        </w:r>
      </w:hyperlink>
    </w:p>
    <w:p w:rsidR="00A511DE" w:rsidRPr="00BE32D1" w:rsidRDefault="00A511DE" w:rsidP="00BE32D1">
      <w:pPr>
        <w:pStyle w:val="P00"/>
        <w:tabs>
          <w:tab w:val="clear" w:pos="624"/>
          <w:tab w:val="clear" w:pos="1021"/>
          <w:tab w:val="clear" w:pos="1474"/>
          <w:tab w:val="clear" w:pos="1928"/>
          <w:tab w:val="clear" w:pos="2381"/>
          <w:tab w:val="clear" w:pos="2835"/>
          <w:tab w:val="clear" w:pos="6259"/>
          <w:tab w:val="center" w:pos="5103"/>
        </w:tabs>
        <w:spacing w:before="72"/>
        <w:ind w:left="0" w:right="1134"/>
        <w:jc w:val="center"/>
        <w:rPr>
          <w:rStyle w:val="default"/>
          <w:rFonts w:cs="David" w:hint="cs"/>
          <w:color w:val="0000FF"/>
          <w:sz w:val="22"/>
          <w:szCs w:val="24"/>
          <w:u w:val="single"/>
          <w:rtl/>
        </w:rPr>
      </w:pPr>
    </w:p>
    <w:sectPr w:rsidR="00A511DE" w:rsidRPr="00BE32D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586E" w:rsidRDefault="006B586E">
      <w:r>
        <w:separator/>
      </w:r>
    </w:p>
  </w:endnote>
  <w:endnote w:type="continuationSeparator" w:id="0">
    <w:p w:rsidR="006B586E" w:rsidRDefault="006B5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1DE" w:rsidRDefault="00A511D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511DE" w:rsidRDefault="00A511D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511DE" w:rsidRDefault="00A511D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F:\Yael\hakika\042803\999_116.doc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1DE" w:rsidRDefault="00A511D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E32D1">
      <w:rPr>
        <w:rFonts w:hAnsi="FrankRuehl" w:cs="FrankRuehl"/>
        <w:noProof/>
        <w:sz w:val="24"/>
        <w:szCs w:val="24"/>
        <w:rtl/>
      </w:rPr>
      <w:t>2</w:t>
    </w:r>
    <w:r>
      <w:rPr>
        <w:rFonts w:hAnsi="FrankRuehl" w:cs="FrankRuehl"/>
        <w:sz w:val="24"/>
        <w:szCs w:val="24"/>
        <w:rtl/>
      </w:rPr>
      <w:fldChar w:fldCharType="end"/>
    </w:r>
  </w:p>
  <w:p w:rsidR="00A511DE" w:rsidRDefault="00A511D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511DE" w:rsidRDefault="00A511D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F:\Yael\hakika\042803\999_116.doc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586E" w:rsidRDefault="006B586E">
      <w:r>
        <w:separator/>
      </w:r>
    </w:p>
  </w:footnote>
  <w:footnote w:type="continuationSeparator" w:id="0">
    <w:p w:rsidR="006B586E" w:rsidRDefault="006B586E">
      <w:r>
        <w:continuationSeparator/>
      </w:r>
    </w:p>
  </w:footnote>
  <w:footnote w:id="1">
    <w:p w:rsidR="00A511DE" w:rsidRDefault="00A511D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FF7738">
          <w:rPr>
            <w:rStyle w:val="Hyperlink"/>
            <w:rFonts w:hint="cs"/>
            <w:sz w:val="20"/>
            <w:rtl/>
          </w:rPr>
          <w:t>ק"ת תשס"ג מס' 6228</w:t>
        </w:r>
      </w:hyperlink>
      <w:r>
        <w:rPr>
          <w:rFonts w:hint="cs"/>
          <w:sz w:val="20"/>
          <w:rtl/>
        </w:rPr>
        <w:t xml:space="preserve"> מיום 20.2.2003 עמ' 544.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1DE" w:rsidRDefault="00A511D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A511DE" w:rsidRDefault="00A511D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11DE" w:rsidRDefault="00A511D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1DE" w:rsidRDefault="00A511DE">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שירותי תיירות (חובת גילוי נאות), תשס"ג-2003</w:t>
    </w:r>
  </w:p>
  <w:p w:rsidR="00A511DE" w:rsidRDefault="00A511D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511DE" w:rsidRDefault="00A511D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7738"/>
    <w:rsid w:val="001E659C"/>
    <w:rsid w:val="00237979"/>
    <w:rsid w:val="006B586E"/>
    <w:rsid w:val="00884B51"/>
    <w:rsid w:val="00991204"/>
    <w:rsid w:val="00A511DE"/>
    <w:rsid w:val="00BE32D1"/>
    <w:rsid w:val="00BF14B7"/>
    <w:rsid w:val="00E85423"/>
    <w:rsid w:val="00EB6A72"/>
    <w:rsid w:val="00F129CE"/>
    <w:rsid w:val="00FF773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A788BABC-6D8C-4192-980F-513ED6D6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4107</CharactersWithSpaces>
  <SharedDoc>false</SharedDoc>
  <HLinks>
    <vt:vector size="54"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8192002</vt:i4>
      </vt:variant>
      <vt:variant>
        <vt:i4>0</vt:i4>
      </vt:variant>
      <vt:variant>
        <vt:i4>0</vt:i4>
      </vt:variant>
      <vt:variant>
        <vt:i4>5</vt:i4>
      </vt:variant>
      <vt:variant>
        <vt:lpwstr>http://www.nevo.co.il/Law_word/law06/TAK-6228.pdf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שירותי תיירות (חובת גילוי נאות), תשס"ג-2003</vt:lpwstr>
  </property>
  <property fmtid="{D5CDD505-2E9C-101B-9397-08002B2CF9AE}" pid="4" name="LAWNUMBER">
    <vt:lpwstr>0121</vt:lpwstr>
  </property>
  <property fmtid="{D5CDD505-2E9C-101B-9397-08002B2CF9AE}" pid="5" name="TYPE">
    <vt:lpwstr>01</vt:lpwstr>
  </property>
  <property fmtid="{D5CDD505-2E9C-101B-9397-08002B2CF9AE}" pid="6" name="MEKOR_NAME1">
    <vt:lpwstr>חוק שירותי תיירות</vt:lpwstr>
  </property>
  <property fmtid="{D5CDD505-2E9C-101B-9397-08002B2CF9AE}" pid="7" name="MEKOR_SAIF1">
    <vt:lpwstr>12גX;24X</vt:lpwstr>
  </property>
  <property fmtid="{D5CDD505-2E9C-101B-9397-08002B2CF9AE}" pid="8" name="NOSE11">
    <vt:lpwstr>רשויות ומשפט מנהלי</vt:lpwstr>
  </property>
  <property fmtid="{D5CDD505-2E9C-101B-9397-08002B2CF9AE}" pid="9" name="NOSE21">
    <vt:lpwstr>תיירות</vt:lpwstr>
  </property>
  <property fmtid="{D5CDD505-2E9C-101B-9397-08002B2CF9AE}" pid="10" name="NOSE31">
    <vt:lpwstr/>
  </property>
  <property fmtid="{D5CDD505-2E9C-101B-9397-08002B2CF9AE}" pid="11" name="NOSE41">
    <vt:lpwstr/>
  </property>
  <property fmtid="{D5CDD505-2E9C-101B-9397-08002B2CF9AE}" pid="12" name="NOSE12">
    <vt:lpwstr/>
  </property>
  <property fmtid="{D5CDD505-2E9C-101B-9397-08002B2CF9AE}" pid="13" name="NOSE22">
    <vt:lpwstr/>
  </property>
  <property fmtid="{D5CDD505-2E9C-101B-9397-08002B2CF9AE}" pid="14" name="NOSE32">
    <vt:lpwstr/>
  </property>
  <property fmtid="{D5CDD505-2E9C-101B-9397-08002B2CF9AE}" pid="15" name="NOSE42">
    <vt:lpwstr/>
  </property>
  <property fmtid="{D5CDD505-2E9C-101B-9397-08002B2CF9AE}" pid="16" name="NOSE13">
    <vt:lpwstr/>
  </property>
  <property fmtid="{D5CDD505-2E9C-101B-9397-08002B2CF9AE}" pid="17" name="NOSE23">
    <vt:lpwstr/>
  </property>
  <property fmtid="{D5CDD505-2E9C-101B-9397-08002B2CF9AE}" pid="18" name="NOSE33">
    <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ies>
</file>