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556" w:rsidRDefault="00C73556" w:rsidP="0094726C">
      <w:pPr>
        <w:pStyle w:val="big-header"/>
        <w:ind w:left="0" w:right="1134"/>
      </w:pPr>
      <w:r>
        <w:rPr>
          <w:rFonts w:hint="cs"/>
          <w:rtl/>
        </w:rPr>
        <w:t>תקנות שמאי מקרקעין (סדרי דין בדיון לפני ועדת משמעת)</w:t>
      </w:r>
      <w:r>
        <w:rPr>
          <w:rtl/>
        </w:rPr>
        <w:t>, תשס"</w:t>
      </w:r>
      <w:r>
        <w:rPr>
          <w:rFonts w:hint="cs"/>
          <w:rtl/>
        </w:rPr>
        <w:t>ה</w:t>
      </w:r>
      <w:r>
        <w:rPr>
          <w:rtl/>
        </w:rPr>
        <w:t>-200</w:t>
      </w:r>
      <w:r>
        <w:rPr>
          <w:rFonts w:hint="cs"/>
          <w:rtl/>
        </w:rPr>
        <w:t>5</w:t>
      </w:r>
    </w:p>
    <w:p w:rsidR="00647873" w:rsidRPr="00647873" w:rsidRDefault="00647873" w:rsidP="00647873">
      <w:pPr>
        <w:spacing w:line="320" w:lineRule="auto"/>
        <w:jc w:val="left"/>
        <w:rPr>
          <w:rFonts w:cs="FrankRuehl"/>
          <w:szCs w:val="26"/>
          <w:rtl/>
        </w:rPr>
      </w:pPr>
    </w:p>
    <w:p w:rsidR="00647873" w:rsidRDefault="00647873" w:rsidP="00647873">
      <w:pPr>
        <w:spacing w:line="320" w:lineRule="auto"/>
        <w:jc w:val="left"/>
        <w:rPr>
          <w:rtl/>
        </w:rPr>
      </w:pPr>
    </w:p>
    <w:p w:rsidR="00647873" w:rsidRDefault="00647873" w:rsidP="00647873">
      <w:pPr>
        <w:spacing w:line="320" w:lineRule="auto"/>
        <w:jc w:val="left"/>
        <w:rPr>
          <w:rFonts w:cs="FrankRuehl"/>
          <w:szCs w:val="26"/>
          <w:rtl/>
        </w:rPr>
      </w:pPr>
      <w:r w:rsidRPr="00647873">
        <w:rPr>
          <w:rFonts w:cs="Miriam"/>
          <w:szCs w:val="22"/>
          <w:rtl/>
        </w:rPr>
        <w:t>משפט פרטי וכלכלה</w:t>
      </w:r>
      <w:r w:rsidRPr="00647873">
        <w:rPr>
          <w:rFonts w:cs="FrankRuehl"/>
          <w:szCs w:val="26"/>
          <w:rtl/>
        </w:rPr>
        <w:t xml:space="preserve"> – הסדרת עיסוק – שמאי מקרקעין</w:t>
      </w:r>
    </w:p>
    <w:p w:rsidR="00647873" w:rsidRPr="00647873" w:rsidRDefault="00647873" w:rsidP="00647873">
      <w:pPr>
        <w:spacing w:line="320" w:lineRule="auto"/>
        <w:jc w:val="left"/>
        <w:rPr>
          <w:rFonts w:cs="Miriam"/>
          <w:szCs w:val="22"/>
          <w:rtl/>
        </w:rPr>
      </w:pPr>
      <w:r w:rsidRPr="00647873">
        <w:rPr>
          <w:rFonts w:cs="Miriam"/>
          <w:szCs w:val="22"/>
          <w:rtl/>
        </w:rPr>
        <w:t>רשויות ומשפט מנהלי</w:t>
      </w:r>
      <w:r w:rsidRPr="00647873">
        <w:rPr>
          <w:rFonts w:cs="FrankRuehl"/>
          <w:szCs w:val="26"/>
          <w:rtl/>
        </w:rPr>
        <w:t xml:space="preserve"> – הסדרת עיסוק – שמאי מקרקעין</w:t>
      </w:r>
    </w:p>
    <w:p w:rsidR="0094726C" w:rsidRDefault="0094726C">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פרק ראשון: הליכים לפני הדיון</w:t>
            </w:r>
          </w:p>
        </w:tc>
        <w:tc>
          <w:tcPr>
            <w:tcW w:w="567" w:type="dxa"/>
          </w:tcPr>
          <w:p w:rsidR="004A3D29" w:rsidRPr="004A3D29" w:rsidRDefault="004A3D29" w:rsidP="004A3D29">
            <w:pPr>
              <w:spacing w:line="240" w:lineRule="auto"/>
              <w:jc w:val="left"/>
              <w:rPr>
                <w:rStyle w:val="Hyperlink"/>
                <w:rFonts w:hint="cs"/>
                <w:rtl/>
              </w:rPr>
            </w:pPr>
            <w:hyperlink w:anchor="med0" w:tooltip="פרק ראשון: הליכים לפני הדיון"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הגדרות</w:t>
            </w:r>
          </w:p>
        </w:tc>
        <w:tc>
          <w:tcPr>
            <w:tcW w:w="567" w:type="dxa"/>
          </w:tcPr>
          <w:p w:rsidR="004A3D29" w:rsidRPr="004A3D29" w:rsidRDefault="004A3D29" w:rsidP="004A3D29">
            <w:pPr>
              <w:spacing w:line="240" w:lineRule="auto"/>
              <w:jc w:val="left"/>
              <w:rPr>
                <w:rStyle w:val="Hyperlink"/>
                <w:rFonts w:hint="cs"/>
                <w:rtl/>
              </w:rPr>
            </w:pPr>
            <w:hyperlink w:anchor="Seif1" w:tooltip="הגדרות"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תובע וועדת תלונות</w:t>
            </w:r>
          </w:p>
        </w:tc>
        <w:tc>
          <w:tcPr>
            <w:tcW w:w="567" w:type="dxa"/>
          </w:tcPr>
          <w:p w:rsidR="004A3D29" w:rsidRPr="004A3D29" w:rsidRDefault="004A3D29" w:rsidP="004A3D29">
            <w:pPr>
              <w:spacing w:line="240" w:lineRule="auto"/>
              <w:jc w:val="left"/>
              <w:rPr>
                <w:rStyle w:val="Hyperlink"/>
                <w:rFonts w:hint="cs"/>
                <w:rtl/>
              </w:rPr>
            </w:pPr>
            <w:hyperlink w:anchor="Seif2" w:tooltip="תובע וועדת תלונות"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תגובת נילון</w:t>
            </w:r>
          </w:p>
        </w:tc>
        <w:tc>
          <w:tcPr>
            <w:tcW w:w="567" w:type="dxa"/>
          </w:tcPr>
          <w:p w:rsidR="004A3D29" w:rsidRPr="004A3D29" w:rsidRDefault="004A3D29" w:rsidP="004A3D29">
            <w:pPr>
              <w:spacing w:line="240" w:lineRule="auto"/>
              <w:jc w:val="left"/>
              <w:rPr>
                <w:rStyle w:val="Hyperlink"/>
                <w:rFonts w:hint="cs"/>
                <w:rtl/>
              </w:rPr>
            </w:pPr>
            <w:hyperlink w:anchor="Seif3" w:tooltip="תגובת נילון"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פרטים נוספים</w:t>
            </w:r>
          </w:p>
        </w:tc>
        <w:tc>
          <w:tcPr>
            <w:tcW w:w="567" w:type="dxa"/>
          </w:tcPr>
          <w:p w:rsidR="004A3D29" w:rsidRPr="004A3D29" w:rsidRDefault="004A3D29" w:rsidP="004A3D29">
            <w:pPr>
              <w:spacing w:line="240" w:lineRule="auto"/>
              <w:jc w:val="left"/>
              <w:rPr>
                <w:rStyle w:val="Hyperlink"/>
                <w:rFonts w:hint="cs"/>
                <w:rtl/>
              </w:rPr>
            </w:pPr>
            <w:hyperlink w:anchor="Seif4" w:tooltip="פרטים נוספים"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ידיעה על עבירת משמעת שלא בדרך תלונה</w:t>
            </w:r>
          </w:p>
        </w:tc>
        <w:tc>
          <w:tcPr>
            <w:tcW w:w="567" w:type="dxa"/>
          </w:tcPr>
          <w:p w:rsidR="004A3D29" w:rsidRPr="004A3D29" w:rsidRDefault="004A3D29" w:rsidP="004A3D29">
            <w:pPr>
              <w:spacing w:line="240" w:lineRule="auto"/>
              <w:jc w:val="left"/>
              <w:rPr>
                <w:rStyle w:val="Hyperlink"/>
                <w:rFonts w:hint="cs"/>
                <w:rtl/>
              </w:rPr>
            </w:pPr>
            <w:hyperlink w:anchor="Seif5" w:tooltip="ידיעה על עבירת משמעת שלא בדרך תלונה"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אי הגשת קובלנה</w:t>
            </w:r>
          </w:p>
        </w:tc>
        <w:tc>
          <w:tcPr>
            <w:tcW w:w="567" w:type="dxa"/>
          </w:tcPr>
          <w:p w:rsidR="004A3D29" w:rsidRPr="004A3D29" w:rsidRDefault="004A3D29" w:rsidP="004A3D29">
            <w:pPr>
              <w:spacing w:line="240" w:lineRule="auto"/>
              <w:jc w:val="left"/>
              <w:rPr>
                <w:rStyle w:val="Hyperlink"/>
                <w:rFonts w:hint="cs"/>
                <w:rtl/>
              </w:rPr>
            </w:pPr>
            <w:hyperlink w:anchor="Seif6" w:tooltip="אי הגשת קובלנה"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הגשת קובלנה</w:t>
            </w:r>
          </w:p>
        </w:tc>
        <w:tc>
          <w:tcPr>
            <w:tcW w:w="567" w:type="dxa"/>
          </w:tcPr>
          <w:p w:rsidR="004A3D29" w:rsidRPr="004A3D29" w:rsidRDefault="004A3D29" w:rsidP="004A3D29">
            <w:pPr>
              <w:spacing w:line="240" w:lineRule="auto"/>
              <w:jc w:val="left"/>
              <w:rPr>
                <w:rStyle w:val="Hyperlink"/>
                <w:rFonts w:hint="cs"/>
                <w:rtl/>
              </w:rPr>
            </w:pPr>
            <w:hyperlink w:anchor="Seif7" w:tooltip="הגשת קובלנה"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8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עריכת קובלנה</w:t>
            </w:r>
          </w:p>
        </w:tc>
        <w:tc>
          <w:tcPr>
            <w:tcW w:w="567" w:type="dxa"/>
          </w:tcPr>
          <w:p w:rsidR="004A3D29" w:rsidRPr="004A3D29" w:rsidRDefault="004A3D29" w:rsidP="004A3D29">
            <w:pPr>
              <w:spacing w:line="240" w:lineRule="auto"/>
              <w:jc w:val="left"/>
              <w:rPr>
                <w:rStyle w:val="Hyperlink"/>
                <w:rFonts w:hint="cs"/>
                <w:rtl/>
              </w:rPr>
            </w:pPr>
            <w:hyperlink w:anchor="Seif8" w:tooltip="עריכת קובלנה"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9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זכות עיון וסייג להבאת ראיות</w:t>
            </w:r>
          </w:p>
        </w:tc>
        <w:tc>
          <w:tcPr>
            <w:tcW w:w="567" w:type="dxa"/>
          </w:tcPr>
          <w:p w:rsidR="004A3D29" w:rsidRPr="004A3D29" w:rsidRDefault="004A3D29" w:rsidP="004A3D29">
            <w:pPr>
              <w:spacing w:line="240" w:lineRule="auto"/>
              <w:jc w:val="left"/>
              <w:rPr>
                <w:rStyle w:val="Hyperlink"/>
                <w:rFonts w:hint="cs"/>
                <w:rtl/>
              </w:rPr>
            </w:pPr>
            <w:hyperlink w:anchor="Seif9" w:tooltip="זכות עיון וסייג להבאת ראיות"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10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צירוף אישומים</w:t>
            </w:r>
          </w:p>
        </w:tc>
        <w:tc>
          <w:tcPr>
            <w:tcW w:w="567" w:type="dxa"/>
          </w:tcPr>
          <w:p w:rsidR="004A3D29" w:rsidRPr="004A3D29" w:rsidRDefault="004A3D29" w:rsidP="004A3D29">
            <w:pPr>
              <w:spacing w:line="240" w:lineRule="auto"/>
              <w:jc w:val="left"/>
              <w:rPr>
                <w:rStyle w:val="Hyperlink"/>
                <w:rFonts w:hint="cs"/>
                <w:rtl/>
              </w:rPr>
            </w:pPr>
            <w:hyperlink w:anchor="Seif10" w:tooltip="צירוף אישומים"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11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צירוף נקבלים</w:t>
            </w:r>
          </w:p>
        </w:tc>
        <w:tc>
          <w:tcPr>
            <w:tcW w:w="567" w:type="dxa"/>
          </w:tcPr>
          <w:p w:rsidR="004A3D29" w:rsidRPr="004A3D29" w:rsidRDefault="004A3D29" w:rsidP="004A3D29">
            <w:pPr>
              <w:spacing w:line="240" w:lineRule="auto"/>
              <w:jc w:val="left"/>
              <w:rPr>
                <w:rStyle w:val="Hyperlink"/>
                <w:rFonts w:hint="cs"/>
                <w:rtl/>
              </w:rPr>
            </w:pPr>
            <w:hyperlink w:anchor="Seif11" w:tooltip="צירוף נקבלים"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12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הפרדת הדיון</w:t>
            </w:r>
          </w:p>
        </w:tc>
        <w:tc>
          <w:tcPr>
            <w:tcW w:w="567" w:type="dxa"/>
          </w:tcPr>
          <w:p w:rsidR="004A3D29" w:rsidRPr="004A3D29" w:rsidRDefault="004A3D29" w:rsidP="004A3D29">
            <w:pPr>
              <w:spacing w:line="240" w:lineRule="auto"/>
              <w:jc w:val="left"/>
              <w:rPr>
                <w:rStyle w:val="Hyperlink"/>
                <w:rFonts w:hint="cs"/>
                <w:rtl/>
              </w:rPr>
            </w:pPr>
            <w:hyperlink w:anchor="Seif12" w:tooltip="הפרדת הדיון"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13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חזרה מקובלנה או תיקונה</w:t>
            </w:r>
          </w:p>
        </w:tc>
        <w:tc>
          <w:tcPr>
            <w:tcW w:w="567" w:type="dxa"/>
          </w:tcPr>
          <w:p w:rsidR="004A3D29" w:rsidRPr="004A3D29" w:rsidRDefault="004A3D29" w:rsidP="004A3D29">
            <w:pPr>
              <w:spacing w:line="240" w:lineRule="auto"/>
              <w:jc w:val="left"/>
              <w:rPr>
                <w:rStyle w:val="Hyperlink"/>
                <w:rFonts w:hint="cs"/>
                <w:rtl/>
              </w:rPr>
            </w:pPr>
            <w:hyperlink w:anchor="Seif13" w:tooltip="חזרה מקובלנה או תיקונה"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14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הזמנה לדיון</w:t>
            </w:r>
          </w:p>
        </w:tc>
        <w:tc>
          <w:tcPr>
            <w:tcW w:w="567" w:type="dxa"/>
          </w:tcPr>
          <w:p w:rsidR="004A3D29" w:rsidRPr="004A3D29" w:rsidRDefault="004A3D29" w:rsidP="004A3D29">
            <w:pPr>
              <w:spacing w:line="240" w:lineRule="auto"/>
              <w:jc w:val="left"/>
              <w:rPr>
                <w:rStyle w:val="Hyperlink"/>
                <w:rFonts w:hint="cs"/>
                <w:rtl/>
              </w:rPr>
            </w:pPr>
            <w:hyperlink w:anchor="Seif14" w:tooltip="הזמנה לדיון"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15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הזמנת עדים</w:t>
            </w:r>
          </w:p>
        </w:tc>
        <w:tc>
          <w:tcPr>
            <w:tcW w:w="567" w:type="dxa"/>
          </w:tcPr>
          <w:p w:rsidR="004A3D29" w:rsidRPr="004A3D29" w:rsidRDefault="004A3D29" w:rsidP="004A3D29">
            <w:pPr>
              <w:spacing w:line="240" w:lineRule="auto"/>
              <w:jc w:val="left"/>
              <w:rPr>
                <w:rStyle w:val="Hyperlink"/>
                <w:rFonts w:hint="cs"/>
                <w:rtl/>
              </w:rPr>
            </w:pPr>
            <w:hyperlink w:anchor="Seif15" w:tooltip="הזמנת עדים"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16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צורת הזמנה ותוכנה</w:t>
            </w:r>
          </w:p>
        </w:tc>
        <w:tc>
          <w:tcPr>
            <w:tcW w:w="567" w:type="dxa"/>
          </w:tcPr>
          <w:p w:rsidR="004A3D29" w:rsidRPr="004A3D29" w:rsidRDefault="004A3D29" w:rsidP="004A3D29">
            <w:pPr>
              <w:spacing w:line="240" w:lineRule="auto"/>
              <w:jc w:val="left"/>
              <w:rPr>
                <w:rStyle w:val="Hyperlink"/>
                <w:rFonts w:hint="cs"/>
                <w:rtl/>
              </w:rPr>
            </w:pPr>
            <w:hyperlink w:anchor="Seif16" w:tooltip="צורת הזמנה ותוכנה"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פרק שני: הליכי הדיון לפני ועדת המשמעת</w:t>
            </w:r>
          </w:p>
        </w:tc>
        <w:tc>
          <w:tcPr>
            <w:tcW w:w="567" w:type="dxa"/>
          </w:tcPr>
          <w:p w:rsidR="004A3D29" w:rsidRPr="004A3D29" w:rsidRDefault="004A3D29" w:rsidP="004A3D29">
            <w:pPr>
              <w:spacing w:line="240" w:lineRule="auto"/>
              <w:jc w:val="left"/>
              <w:rPr>
                <w:rStyle w:val="Hyperlink"/>
                <w:rFonts w:hint="cs"/>
                <w:rtl/>
              </w:rPr>
            </w:pPr>
            <w:hyperlink w:anchor="med1" w:tooltip="פרק שני: הליכי הדיון לפני ועדת המשמעת"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17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ניהול הדיון</w:t>
            </w:r>
          </w:p>
        </w:tc>
        <w:tc>
          <w:tcPr>
            <w:tcW w:w="567" w:type="dxa"/>
          </w:tcPr>
          <w:p w:rsidR="004A3D29" w:rsidRPr="004A3D29" w:rsidRDefault="004A3D29" w:rsidP="004A3D29">
            <w:pPr>
              <w:spacing w:line="240" w:lineRule="auto"/>
              <w:jc w:val="left"/>
              <w:rPr>
                <w:rStyle w:val="Hyperlink"/>
                <w:rFonts w:hint="cs"/>
                <w:rtl/>
              </w:rPr>
            </w:pPr>
            <w:hyperlink w:anchor="Seif17" w:tooltip="ניהול הדיון"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18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פרוטוקול</w:t>
            </w:r>
          </w:p>
        </w:tc>
        <w:tc>
          <w:tcPr>
            <w:tcW w:w="567" w:type="dxa"/>
          </w:tcPr>
          <w:p w:rsidR="004A3D29" w:rsidRPr="004A3D29" w:rsidRDefault="004A3D29" w:rsidP="004A3D29">
            <w:pPr>
              <w:spacing w:line="240" w:lineRule="auto"/>
              <w:jc w:val="left"/>
              <w:rPr>
                <w:rStyle w:val="Hyperlink"/>
                <w:rFonts w:hint="cs"/>
                <w:rtl/>
              </w:rPr>
            </w:pPr>
            <w:hyperlink w:anchor="Seif18" w:tooltip="פרוטוקול"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19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תשובת הנקבל לקובלנה</w:t>
            </w:r>
          </w:p>
        </w:tc>
        <w:tc>
          <w:tcPr>
            <w:tcW w:w="567" w:type="dxa"/>
          </w:tcPr>
          <w:p w:rsidR="004A3D29" w:rsidRPr="004A3D29" w:rsidRDefault="004A3D29" w:rsidP="004A3D29">
            <w:pPr>
              <w:spacing w:line="240" w:lineRule="auto"/>
              <w:jc w:val="left"/>
              <w:rPr>
                <w:rStyle w:val="Hyperlink"/>
                <w:rFonts w:hint="cs"/>
                <w:rtl/>
              </w:rPr>
            </w:pPr>
            <w:hyperlink w:anchor="Seif19" w:tooltip="תשובת הנקבל לקובלנה"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20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ראיות מטעם התובע והנקבל</w:t>
            </w:r>
          </w:p>
        </w:tc>
        <w:tc>
          <w:tcPr>
            <w:tcW w:w="567" w:type="dxa"/>
          </w:tcPr>
          <w:p w:rsidR="004A3D29" w:rsidRPr="004A3D29" w:rsidRDefault="004A3D29" w:rsidP="004A3D29">
            <w:pPr>
              <w:spacing w:line="240" w:lineRule="auto"/>
              <w:jc w:val="left"/>
              <w:rPr>
                <w:rStyle w:val="Hyperlink"/>
                <w:rFonts w:hint="cs"/>
                <w:rtl/>
              </w:rPr>
            </w:pPr>
            <w:hyperlink w:anchor="Seif20" w:tooltip="ראיות מטעם התובע והנקבל"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21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ראיות מטעם ועדת משמעת וראיות נוספות</w:t>
            </w:r>
          </w:p>
        </w:tc>
        <w:tc>
          <w:tcPr>
            <w:tcW w:w="567" w:type="dxa"/>
          </w:tcPr>
          <w:p w:rsidR="004A3D29" w:rsidRPr="004A3D29" w:rsidRDefault="004A3D29" w:rsidP="004A3D29">
            <w:pPr>
              <w:spacing w:line="240" w:lineRule="auto"/>
              <w:jc w:val="left"/>
              <w:rPr>
                <w:rStyle w:val="Hyperlink"/>
                <w:rFonts w:hint="cs"/>
                <w:rtl/>
              </w:rPr>
            </w:pPr>
            <w:hyperlink w:anchor="Seif21" w:tooltip="ראיות מטעם ועדת משמעת וראיות נוספות"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22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סדר חקירת עדים והגשת ראיות</w:t>
            </w:r>
          </w:p>
        </w:tc>
        <w:tc>
          <w:tcPr>
            <w:tcW w:w="567" w:type="dxa"/>
          </w:tcPr>
          <w:p w:rsidR="004A3D29" w:rsidRPr="004A3D29" w:rsidRDefault="004A3D29" w:rsidP="004A3D29">
            <w:pPr>
              <w:spacing w:line="240" w:lineRule="auto"/>
              <w:jc w:val="left"/>
              <w:rPr>
                <w:rStyle w:val="Hyperlink"/>
                <w:rFonts w:hint="cs"/>
                <w:rtl/>
              </w:rPr>
            </w:pPr>
            <w:hyperlink w:anchor="Seif22" w:tooltip="סדר חקירת עדים והגשת ראיות"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23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סיכומים</w:t>
            </w:r>
          </w:p>
        </w:tc>
        <w:tc>
          <w:tcPr>
            <w:tcW w:w="567" w:type="dxa"/>
          </w:tcPr>
          <w:p w:rsidR="004A3D29" w:rsidRPr="004A3D29" w:rsidRDefault="004A3D29" w:rsidP="004A3D29">
            <w:pPr>
              <w:spacing w:line="240" w:lineRule="auto"/>
              <w:jc w:val="left"/>
              <w:rPr>
                <w:rStyle w:val="Hyperlink"/>
                <w:rFonts w:hint="cs"/>
                <w:rtl/>
              </w:rPr>
            </w:pPr>
            <w:hyperlink w:anchor="Seif23" w:tooltip="סיכומים"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24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הכרעת הדין</w:t>
            </w:r>
          </w:p>
        </w:tc>
        <w:tc>
          <w:tcPr>
            <w:tcW w:w="567" w:type="dxa"/>
          </w:tcPr>
          <w:p w:rsidR="004A3D29" w:rsidRPr="004A3D29" w:rsidRDefault="004A3D29" w:rsidP="004A3D29">
            <w:pPr>
              <w:spacing w:line="240" w:lineRule="auto"/>
              <w:jc w:val="left"/>
              <w:rPr>
                <w:rStyle w:val="Hyperlink"/>
                <w:rFonts w:hint="cs"/>
                <w:rtl/>
              </w:rPr>
            </w:pPr>
            <w:hyperlink w:anchor="Seif24" w:tooltip="הכרעת הדין"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25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הרשעה בעבירות אחדות</w:t>
            </w:r>
          </w:p>
        </w:tc>
        <w:tc>
          <w:tcPr>
            <w:tcW w:w="567" w:type="dxa"/>
          </w:tcPr>
          <w:p w:rsidR="004A3D29" w:rsidRPr="004A3D29" w:rsidRDefault="004A3D29" w:rsidP="004A3D29">
            <w:pPr>
              <w:spacing w:line="240" w:lineRule="auto"/>
              <w:jc w:val="left"/>
              <w:rPr>
                <w:rStyle w:val="Hyperlink"/>
                <w:rFonts w:hint="cs"/>
                <w:rtl/>
              </w:rPr>
            </w:pPr>
            <w:hyperlink w:anchor="Seif25" w:tooltip="הרשעה בעבירות אחדות"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26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טענות וראיות לאמצעי משמעת</w:t>
            </w:r>
          </w:p>
        </w:tc>
        <w:tc>
          <w:tcPr>
            <w:tcW w:w="567" w:type="dxa"/>
          </w:tcPr>
          <w:p w:rsidR="004A3D29" w:rsidRPr="004A3D29" w:rsidRDefault="004A3D29" w:rsidP="004A3D29">
            <w:pPr>
              <w:spacing w:line="240" w:lineRule="auto"/>
              <w:jc w:val="left"/>
              <w:rPr>
                <w:rStyle w:val="Hyperlink"/>
                <w:rFonts w:hint="cs"/>
                <w:rtl/>
              </w:rPr>
            </w:pPr>
            <w:hyperlink w:anchor="Seif26" w:tooltip="טענות וראיות לאמצעי משמעת"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27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נקיטת אמצעי משמעת</w:t>
            </w:r>
          </w:p>
        </w:tc>
        <w:tc>
          <w:tcPr>
            <w:tcW w:w="567" w:type="dxa"/>
          </w:tcPr>
          <w:p w:rsidR="004A3D29" w:rsidRPr="004A3D29" w:rsidRDefault="004A3D29" w:rsidP="004A3D29">
            <w:pPr>
              <w:spacing w:line="240" w:lineRule="auto"/>
              <w:jc w:val="left"/>
              <w:rPr>
                <w:rStyle w:val="Hyperlink"/>
                <w:rFonts w:hint="cs"/>
                <w:rtl/>
              </w:rPr>
            </w:pPr>
            <w:hyperlink w:anchor="Seif27" w:tooltip="נקיטת אמצעי משמעת"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28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המצאת</w:t>
            </w:r>
          </w:p>
        </w:tc>
        <w:tc>
          <w:tcPr>
            <w:tcW w:w="567" w:type="dxa"/>
          </w:tcPr>
          <w:p w:rsidR="004A3D29" w:rsidRPr="004A3D29" w:rsidRDefault="004A3D29" w:rsidP="004A3D29">
            <w:pPr>
              <w:spacing w:line="240" w:lineRule="auto"/>
              <w:jc w:val="left"/>
              <w:rPr>
                <w:rStyle w:val="Hyperlink"/>
                <w:rFonts w:hint="cs"/>
                <w:rtl/>
              </w:rPr>
            </w:pPr>
            <w:hyperlink w:anchor="Seif28" w:tooltip="המצאת"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29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חריגה מהמועד</w:t>
            </w:r>
          </w:p>
        </w:tc>
        <w:tc>
          <w:tcPr>
            <w:tcW w:w="567" w:type="dxa"/>
          </w:tcPr>
          <w:p w:rsidR="004A3D29" w:rsidRPr="004A3D29" w:rsidRDefault="004A3D29" w:rsidP="004A3D29">
            <w:pPr>
              <w:spacing w:line="240" w:lineRule="auto"/>
              <w:jc w:val="left"/>
              <w:rPr>
                <w:rStyle w:val="Hyperlink"/>
                <w:rFonts w:hint="cs"/>
                <w:rtl/>
              </w:rPr>
            </w:pPr>
            <w:hyperlink w:anchor="Seif29" w:tooltip="חריגה מהמועד"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30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דיון בהעדר הנקבל</w:t>
            </w:r>
          </w:p>
        </w:tc>
        <w:tc>
          <w:tcPr>
            <w:tcW w:w="567" w:type="dxa"/>
          </w:tcPr>
          <w:p w:rsidR="004A3D29" w:rsidRPr="004A3D29" w:rsidRDefault="004A3D29" w:rsidP="004A3D29">
            <w:pPr>
              <w:spacing w:line="240" w:lineRule="auto"/>
              <w:jc w:val="left"/>
              <w:rPr>
                <w:rStyle w:val="Hyperlink"/>
                <w:rFonts w:hint="cs"/>
                <w:rtl/>
              </w:rPr>
            </w:pPr>
            <w:hyperlink w:anchor="Seif30" w:tooltip="דיון בהעדר הנקבל"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פרק שלישי: התליה עד סיום דיון</w:t>
            </w:r>
          </w:p>
        </w:tc>
        <w:tc>
          <w:tcPr>
            <w:tcW w:w="567" w:type="dxa"/>
          </w:tcPr>
          <w:p w:rsidR="004A3D29" w:rsidRPr="004A3D29" w:rsidRDefault="004A3D29" w:rsidP="004A3D29">
            <w:pPr>
              <w:spacing w:line="240" w:lineRule="auto"/>
              <w:jc w:val="left"/>
              <w:rPr>
                <w:rStyle w:val="Hyperlink"/>
                <w:rFonts w:hint="cs"/>
                <w:rtl/>
              </w:rPr>
            </w:pPr>
            <w:hyperlink w:anchor="med2" w:tooltip="פרק שלישי: התליה עד סיום דיון"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31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צורת בקשה להתליה</w:t>
            </w:r>
          </w:p>
        </w:tc>
        <w:tc>
          <w:tcPr>
            <w:tcW w:w="567" w:type="dxa"/>
          </w:tcPr>
          <w:p w:rsidR="004A3D29" w:rsidRPr="004A3D29" w:rsidRDefault="004A3D29" w:rsidP="004A3D29">
            <w:pPr>
              <w:spacing w:line="240" w:lineRule="auto"/>
              <w:jc w:val="left"/>
              <w:rPr>
                <w:rStyle w:val="Hyperlink"/>
                <w:rFonts w:hint="cs"/>
                <w:rtl/>
              </w:rPr>
            </w:pPr>
            <w:hyperlink w:anchor="Seif31" w:tooltip="צורת בקשה להתליה"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32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סדרי דין בבקשה להתליה</w:t>
            </w:r>
          </w:p>
        </w:tc>
        <w:tc>
          <w:tcPr>
            <w:tcW w:w="567" w:type="dxa"/>
          </w:tcPr>
          <w:p w:rsidR="004A3D29" w:rsidRPr="004A3D29" w:rsidRDefault="004A3D29" w:rsidP="004A3D29">
            <w:pPr>
              <w:spacing w:line="240" w:lineRule="auto"/>
              <w:jc w:val="left"/>
              <w:rPr>
                <w:rStyle w:val="Hyperlink"/>
                <w:rFonts w:hint="cs"/>
                <w:rtl/>
              </w:rPr>
            </w:pPr>
            <w:hyperlink w:anchor="Seif32" w:tooltip="סדרי דין בבקשה להתליה"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33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ראיות בעלי הדין</w:t>
            </w:r>
          </w:p>
        </w:tc>
        <w:tc>
          <w:tcPr>
            <w:tcW w:w="567" w:type="dxa"/>
          </w:tcPr>
          <w:p w:rsidR="004A3D29" w:rsidRPr="004A3D29" w:rsidRDefault="004A3D29" w:rsidP="004A3D29">
            <w:pPr>
              <w:spacing w:line="240" w:lineRule="auto"/>
              <w:jc w:val="left"/>
              <w:rPr>
                <w:rStyle w:val="Hyperlink"/>
                <w:rFonts w:hint="cs"/>
                <w:rtl/>
              </w:rPr>
            </w:pPr>
            <w:hyperlink w:anchor="Seif33" w:tooltip="ראיות בעלי הדין"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פרק רביעי: הוראות שונות</w:t>
            </w:r>
          </w:p>
        </w:tc>
        <w:tc>
          <w:tcPr>
            <w:tcW w:w="567" w:type="dxa"/>
          </w:tcPr>
          <w:p w:rsidR="004A3D29" w:rsidRPr="004A3D29" w:rsidRDefault="004A3D29" w:rsidP="004A3D29">
            <w:pPr>
              <w:spacing w:line="240" w:lineRule="auto"/>
              <w:jc w:val="left"/>
              <w:rPr>
                <w:rStyle w:val="Hyperlink"/>
                <w:rFonts w:hint="cs"/>
                <w:rtl/>
              </w:rPr>
            </w:pPr>
            <w:hyperlink w:anchor="med3" w:tooltip="פרק רביעי: הוראות שונות"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34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ערעור</w:t>
            </w:r>
          </w:p>
        </w:tc>
        <w:tc>
          <w:tcPr>
            <w:tcW w:w="567" w:type="dxa"/>
          </w:tcPr>
          <w:p w:rsidR="004A3D29" w:rsidRPr="004A3D29" w:rsidRDefault="004A3D29" w:rsidP="004A3D29">
            <w:pPr>
              <w:spacing w:line="240" w:lineRule="auto"/>
              <w:jc w:val="left"/>
              <w:rPr>
                <w:rStyle w:val="Hyperlink"/>
                <w:rFonts w:hint="cs"/>
                <w:rtl/>
              </w:rPr>
            </w:pPr>
            <w:hyperlink w:anchor="Seif34" w:tooltip="ערעור"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lastRenderedPageBreak/>
              <w:t xml:space="preserve">סעיף 35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המצאת מסמכים</w:t>
            </w:r>
          </w:p>
        </w:tc>
        <w:tc>
          <w:tcPr>
            <w:tcW w:w="567" w:type="dxa"/>
          </w:tcPr>
          <w:p w:rsidR="004A3D29" w:rsidRPr="004A3D29" w:rsidRDefault="004A3D29" w:rsidP="004A3D29">
            <w:pPr>
              <w:spacing w:line="240" w:lineRule="auto"/>
              <w:jc w:val="left"/>
              <w:rPr>
                <w:rStyle w:val="Hyperlink"/>
                <w:rFonts w:hint="cs"/>
                <w:rtl/>
              </w:rPr>
            </w:pPr>
            <w:hyperlink w:anchor="Seif35" w:tooltip="המצאת מסמכים"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36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תחליף המצאה</w:t>
            </w:r>
          </w:p>
        </w:tc>
        <w:tc>
          <w:tcPr>
            <w:tcW w:w="567" w:type="dxa"/>
          </w:tcPr>
          <w:p w:rsidR="004A3D29" w:rsidRPr="004A3D29" w:rsidRDefault="004A3D29" w:rsidP="004A3D29">
            <w:pPr>
              <w:spacing w:line="240" w:lineRule="auto"/>
              <w:jc w:val="left"/>
              <w:rPr>
                <w:rStyle w:val="Hyperlink"/>
                <w:rFonts w:hint="cs"/>
                <w:rtl/>
              </w:rPr>
            </w:pPr>
            <w:hyperlink w:anchor="Seif36" w:tooltip="תחליף המצאה"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37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פגמים שאינם פןגמים בדיון</w:t>
            </w:r>
          </w:p>
        </w:tc>
        <w:tc>
          <w:tcPr>
            <w:tcW w:w="567" w:type="dxa"/>
          </w:tcPr>
          <w:p w:rsidR="004A3D29" w:rsidRPr="004A3D29" w:rsidRDefault="004A3D29" w:rsidP="004A3D29">
            <w:pPr>
              <w:spacing w:line="240" w:lineRule="auto"/>
              <w:jc w:val="left"/>
              <w:rPr>
                <w:rStyle w:val="Hyperlink"/>
                <w:rFonts w:hint="cs"/>
                <w:rtl/>
              </w:rPr>
            </w:pPr>
            <w:hyperlink w:anchor="Seif37" w:tooltip="פגמים שאינם פןגמים בדיון"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A3D29" w:rsidRPr="004A3D29">
        <w:tblPrEx>
          <w:tblCellMar>
            <w:top w:w="0" w:type="dxa"/>
            <w:bottom w:w="0" w:type="dxa"/>
          </w:tblCellMar>
        </w:tblPrEx>
        <w:tc>
          <w:tcPr>
            <w:tcW w:w="1247"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 xml:space="preserve">סעיף 39 </w:t>
            </w:r>
          </w:p>
        </w:tc>
        <w:tc>
          <w:tcPr>
            <w:tcW w:w="5669" w:type="dxa"/>
          </w:tcPr>
          <w:p w:rsidR="004A3D29" w:rsidRPr="004A3D29" w:rsidRDefault="004A3D29" w:rsidP="004A3D29">
            <w:pPr>
              <w:spacing w:line="240" w:lineRule="auto"/>
              <w:jc w:val="left"/>
              <w:rPr>
                <w:rStyle w:val="default"/>
                <w:rFonts w:cs="Frankruhel" w:hint="cs"/>
                <w:sz w:val="24"/>
                <w:szCs w:val="24"/>
                <w:rtl/>
              </w:rPr>
            </w:pPr>
            <w:r>
              <w:rPr>
                <w:rStyle w:val="default"/>
                <w:sz w:val="24"/>
                <w:szCs w:val="24"/>
                <w:rtl/>
              </w:rPr>
              <w:t>תחילה</w:t>
            </w:r>
          </w:p>
        </w:tc>
        <w:tc>
          <w:tcPr>
            <w:tcW w:w="567" w:type="dxa"/>
          </w:tcPr>
          <w:p w:rsidR="004A3D29" w:rsidRPr="004A3D29" w:rsidRDefault="004A3D29" w:rsidP="004A3D29">
            <w:pPr>
              <w:spacing w:line="240" w:lineRule="auto"/>
              <w:jc w:val="left"/>
              <w:rPr>
                <w:rStyle w:val="Hyperlink"/>
                <w:rFonts w:hint="cs"/>
                <w:rtl/>
              </w:rPr>
            </w:pPr>
            <w:hyperlink w:anchor="Seif38" w:tooltip="תחילה" w:history="1">
              <w:r w:rsidRPr="004A3D29">
                <w:rPr>
                  <w:rStyle w:val="Hyperlink"/>
                </w:rPr>
                <w:t>Go</w:t>
              </w:r>
            </w:hyperlink>
          </w:p>
        </w:tc>
        <w:tc>
          <w:tcPr>
            <w:tcW w:w="850" w:type="dxa"/>
          </w:tcPr>
          <w:p w:rsidR="004A3D29" w:rsidRPr="004A3D29" w:rsidRDefault="004A3D29" w:rsidP="004A3D2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bl>
    <w:p w:rsidR="00C73556" w:rsidRDefault="00C73556">
      <w:pPr>
        <w:pStyle w:val="P00"/>
        <w:spacing w:before="72"/>
        <w:ind w:left="0" w:right="1134"/>
        <w:rPr>
          <w:rStyle w:val="default"/>
          <w:rFonts w:cs="FrankRuehl" w:hint="cs"/>
          <w:rtl/>
        </w:rPr>
      </w:pPr>
    </w:p>
    <w:p w:rsidR="00C73556" w:rsidRDefault="00C73556" w:rsidP="00647873">
      <w:pPr>
        <w:pStyle w:val="big-header"/>
        <w:ind w:left="0" w:right="1134"/>
        <w:rPr>
          <w:rFonts w:hint="cs"/>
          <w:rtl/>
        </w:rPr>
      </w:pPr>
      <w:r>
        <w:rPr>
          <w:rStyle w:val="default"/>
          <w:rFonts w:cs="FrankRuehl"/>
          <w:rtl/>
        </w:rPr>
        <w:br w:type="page"/>
      </w:r>
      <w:r>
        <w:rPr>
          <w:rFonts w:hint="cs"/>
          <w:rtl/>
        </w:rPr>
        <w:lastRenderedPageBreak/>
        <w:t>תקנות שמאי מקרקעין (סדרי דין בדיון לפני ועדת משמעת)</w:t>
      </w:r>
      <w:r>
        <w:rPr>
          <w:rtl/>
        </w:rPr>
        <w:t>, תשס"</w:t>
      </w:r>
      <w:r>
        <w:rPr>
          <w:rFonts w:hint="cs"/>
          <w:rtl/>
        </w:rPr>
        <w:t>ה</w:t>
      </w:r>
      <w:r>
        <w:rPr>
          <w:rtl/>
        </w:rPr>
        <w:t>-200</w:t>
      </w:r>
      <w:r>
        <w:rPr>
          <w:rFonts w:hint="cs"/>
          <w:rtl/>
        </w:rPr>
        <w:t>5</w:t>
      </w:r>
      <w:r>
        <w:rPr>
          <w:rStyle w:val="default"/>
          <w:sz w:val="22"/>
          <w:szCs w:val="22"/>
          <w:rtl/>
        </w:rPr>
        <w:footnoteReference w:customMarkFollows="1" w:id="1"/>
        <w:t>*</w:t>
      </w:r>
    </w:p>
    <w:p w:rsidR="00C73556" w:rsidRDefault="00C73556">
      <w:pPr>
        <w:pStyle w:val="P00"/>
        <w:spacing w:before="72"/>
        <w:ind w:left="0" w:right="1134"/>
        <w:rPr>
          <w:rStyle w:val="default"/>
          <w:rFonts w:cs="FrankRuehl" w:hint="cs"/>
          <w:rtl/>
        </w:rPr>
      </w:pPr>
      <w:r>
        <w:rPr>
          <w:rStyle w:val="default"/>
          <w:rFonts w:cs="FrankRuehl" w:hint="cs"/>
          <w:rtl/>
        </w:rPr>
        <w:tab/>
        <w:t xml:space="preserve">בתוקף סמכותי לפי סעיפים 30 ו-43 לחוק שמאי מקרקעין, התשס"א-2001 (להלן </w:t>
      </w:r>
      <w:r>
        <w:rPr>
          <w:rStyle w:val="default"/>
          <w:rFonts w:cs="FrankRuehl"/>
          <w:rtl/>
        </w:rPr>
        <w:t>–</w:t>
      </w:r>
      <w:r>
        <w:rPr>
          <w:rStyle w:val="default"/>
          <w:rFonts w:cs="FrankRuehl" w:hint="cs"/>
          <w:rtl/>
        </w:rPr>
        <w:t xml:space="preserve"> החוק), וסעיף 108 לחוק בתי המשפט [נוסח משולב], התשמ"ד-1984, אני מתקינה תקנות אלה:</w:t>
      </w:r>
    </w:p>
    <w:p w:rsidR="00C73556" w:rsidRDefault="00C73556">
      <w:pPr>
        <w:pStyle w:val="medium2-header"/>
        <w:keepLines w:val="0"/>
        <w:spacing w:before="72"/>
        <w:ind w:left="0" w:right="1134"/>
        <w:rPr>
          <w:rFonts w:cs="FrankRuehl" w:hint="cs"/>
          <w:noProof/>
          <w:rtl/>
        </w:rPr>
      </w:pPr>
      <w:bookmarkStart w:id="0" w:name="med0"/>
      <w:bookmarkEnd w:id="0"/>
      <w:r>
        <w:rPr>
          <w:rFonts w:cs="FrankRuehl" w:hint="cs"/>
          <w:noProof/>
          <w:rtl/>
        </w:rPr>
        <w:t>פרק ראשון: הליכים לפני הדיון</w:t>
      </w:r>
    </w:p>
    <w:p w:rsidR="00C73556" w:rsidRDefault="00C73556">
      <w:pPr>
        <w:pStyle w:val="header-2"/>
        <w:ind w:left="0" w:right="1134"/>
        <w:rPr>
          <w:rFonts w:cs="Miriam" w:hint="cs"/>
          <w:rtl/>
        </w:rPr>
      </w:pPr>
      <w:r>
        <w:rPr>
          <w:rFonts w:cs="Miriam" w:hint="cs"/>
          <w:rtl/>
        </w:rPr>
        <w:t>סימן א': תלונה וקובלנה</w:t>
      </w:r>
    </w:p>
    <w:p w:rsidR="00C73556" w:rsidRDefault="00C73556">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35pt;margin-top:7.1pt;width:75.05pt;height:10.2pt;z-index:251638272"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C73556" w:rsidRDefault="00C73556">
      <w:pPr>
        <w:pStyle w:val="P00"/>
        <w:spacing w:before="72"/>
        <w:ind w:left="0" w:right="1134"/>
        <w:rPr>
          <w:rStyle w:val="default"/>
          <w:rFonts w:cs="FrankRuehl" w:hint="cs"/>
          <w:rtl/>
        </w:rPr>
      </w:pPr>
      <w:r>
        <w:rPr>
          <w:rStyle w:val="default"/>
          <w:rFonts w:cs="FrankRuehl" w:hint="cs"/>
          <w:rtl/>
        </w:rPr>
        <w:tab/>
        <w:t xml:space="preserve">"ועדת המשמעת" </w:t>
      </w:r>
      <w:r>
        <w:rPr>
          <w:rStyle w:val="default"/>
          <w:rFonts w:cs="FrankRuehl"/>
          <w:rtl/>
        </w:rPr>
        <w:t>–</w:t>
      </w:r>
      <w:r>
        <w:rPr>
          <w:rStyle w:val="default"/>
          <w:rFonts w:cs="FrankRuehl" w:hint="cs"/>
          <w:rtl/>
        </w:rPr>
        <w:t xml:space="preserve"> הוועדה שמונתה לפי סעיף 17 לחוק;</w:t>
      </w:r>
    </w:p>
    <w:p w:rsidR="00C73556" w:rsidRDefault="00C73556">
      <w:pPr>
        <w:pStyle w:val="P00"/>
        <w:spacing w:before="72"/>
        <w:ind w:left="0" w:right="1134"/>
        <w:rPr>
          <w:rStyle w:val="default"/>
          <w:rFonts w:cs="FrankRuehl" w:hint="cs"/>
          <w:rtl/>
        </w:rPr>
      </w:pPr>
      <w:r>
        <w:rPr>
          <w:rStyle w:val="default"/>
          <w:rFonts w:cs="FrankRuehl" w:hint="cs"/>
          <w:rtl/>
        </w:rPr>
        <w:tab/>
        <w:t xml:space="preserve">"נקבל" </w:t>
      </w:r>
      <w:r>
        <w:rPr>
          <w:rStyle w:val="default"/>
          <w:rFonts w:cs="FrankRuehl"/>
          <w:rtl/>
        </w:rPr>
        <w:t>–</w:t>
      </w:r>
      <w:r>
        <w:rPr>
          <w:rStyle w:val="default"/>
          <w:rFonts w:cs="FrankRuehl" w:hint="cs"/>
          <w:rtl/>
        </w:rPr>
        <w:t xml:space="preserve"> כמשמעותו בסעיף 25 לחוק;</w:t>
      </w:r>
    </w:p>
    <w:p w:rsidR="00C73556" w:rsidRDefault="00C73556">
      <w:pPr>
        <w:pStyle w:val="P00"/>
        <w:spacing w:before="72"/>
        <w:ind w:left="0" w:right="1134"/>
        <w:rPr>
          <w:rStyle w:val="default"/>
          <w:rFonts w:cs="FrankRuehl" w:hint="cs"/>
          <w:rtl/>
        </w:rPr>
      </w:pPr>
      <w:r>
        <w:rPr>
          <w:rStyle w:val="default"/>
          <w:rFonts w:cs="FrankRuehl" w:hint="cs"/>
          <w:rtl/>
        </w:rPr>
        <w:tab/>
        <w:t xml:space="preserve">"תובע" </w:t>
      </w:r>
      <w:r>
        <w:rPr>
          <w:rStyle w:val="default"/>
          <w:rFonts w:cs="FrankRuehl"/>
          <w:rtl/>
        </w:rPr>
        <w:t>–</w:t>
      </w:r>
      <w:r>
        <w:rPr>
          <w:rStyle w:val="default"/>
          <w:rFonts w:cs="FrankRuehl" w:hint="cs"/>
          <w:rtl/>
        </w:rPr>
        <w:t xml:space="preserve"> עורך דין שהוסמך לפי סעיף 22 לחוק.</w:t>
      </w:r>
    </w:p>
    <w:p w:rsidR="00C73556" w:rsidRDefault="00C73556">
      <w:pPr>
        <w:pStyle w:val="P00"/>
        <w:spacing w:before="72"/>
        <w:ind w:left="0" w:right="1134"/>
        <w:rPr>
          <w:rStyle w:val="default"/>
          <w:rFonts w:cs="FrankRuehl" w:hint="cs"/>
          <w:rtl/>
        </w:rPr>
      </w:pPr>
      <w:bookmarkStart w:id="2" w:name="Seif2"/>
      <w:bookmarkEnd w:id="2"/>
      <w:r>
        <w:rPr>
          <w:lang w:val="he-IL"/>
        </w:rPr>
        <w:pict>
          <v:rect id="_x0000_s1040" style="position:absolute;left:0;text-align:left;margin-left:464.35pt;margin-top:7.1pt;width:75.05pt;height:7.05pt;z-index:251639296"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תובע וועדת תלונות</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 xml:space="preserve">תלונה למועצה נגד שמאי מקרקעין (להלן </w:t>
      </w:r>
      <w:r>
        <w:rPr>
          <w:rStyle w:val="default"/>
          <w:rFonts w:cs="FrankRuehl"/>
          <w:rtl/>
        </w:rPr>
        <w:t>–</w:t>
      </w:r>
      <w:r>
        <w:rPr>
          <w:rStyle w:val="default"/>
          <w:rFonts w:cs="FrankRuehl" w:hint="cs"/>
          <w:rtl/>
        </w:rPr>
        <w:t xml:space="preserve"> הנילון) תובא לפני התובע.</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התובע יברר את התלונה ויחליט לפי תוצאות הבירור אם יש מקום להגיש נגד הנילון קובלנה לוועדת משמעת.</w:t>
      </w:r>
    </w:p>
    <w:p w:rsidR="00C73556" w:rsidRDefault="00C735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למילוי סמכותו לפי תקנת משנה (ב) רשאי התובע להסתייע בוועדת תלונות שמינתה המועצה לפי סעיף 22(ה) לחוק.</w:t>
      </w:r>
    </w:p>
    <w:p w:rsidR="00C73556" w:rsidRDefault="00C73556">
      <w:pPr>
        <w:pStyle w:val="P00"/>
        <w:spacing w:before="72"/>
        <w:ind w:left="0" w:right="1134"/>
        <w:rPr>
          <w:rStyle w:val="default"/>
          <w:rFonts w:cs="FrankRuehl" w:hint="cs"/>
          <w:rtl/>
        </w:rPr>
      </w:pPr>
      <w:bookmarkStart w:id="3" w:name="Seif3"/>
      <w:bookmarkEnd w:id="3"/>
      <w:r>
        <w:rPr>
          <w:lang w:val="he-IL"/>
        </w:rPr>
        <w:pict>
          <v:rect id="_x0000_s1083" style="position:absolute;left:0;text-align:left;margin-left:464.35pt;margin-top:7.1pt;width:75.05pt;height:10.2pt;z-index:251640320"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תגובת נילון</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ראה התובע כי יש לכאורה ממש בתלונה, ימציא לנילון העתק מהתלונה, וייתן לו הזדמנות להשיב עליה בכתב בתוך 14 ימים מיום שהומצאה לו או בתוך תקופה ארוכה ממנה שקבע התובע.</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משעברה התקופה האמורה רשאי התובע להגיש קובלנה לוועדת משמעת אף אם לא השיב הנילון על התלונה.</w:t>
      </w:r>
    </w:p>
    <w:p w:rsidR="00C73556" w:rsidRDefault="00C73556">
      <w:pPr>
        <w:pStyle w:val="P00"/>
        <w:spacing w:before="72"/>
        <w:ind w:left="0" w:right="1134"/>
        <w:rPr>
          <w:rStyle w:val="default"/>
          <w:rFonts w:cs="FrankRuehl" w:hint="cs"/>
          <w:rtl/>
        </w:rPr>
      </w:pPr>
      <w:bookmarkStart w:id="4" w:name="Seif4"/>
      <w:bookmarkEnd w:id="4"/>
      <w:r>
        <w:rPr>
          <w:lang w:val="he-IL"/>
        </w:rPr>
        <w:pict>
          <v:rect id="_x0000_s1084" style="position:absolute;left:0;text-align:left;margin-left:464.35pt;margin-top:7.1pt;width:75.05pt;height:10.2pt;z-index:251641344"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פרטים נוספים</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תובע רשאי לדרוש מהמתלונן או מהנילון להגיש, במועדים שיקבע, פרטים נוספים לתלונה או לתשובה, לפי הענין, ורשאי הוא לדרוש מהמתלונן או מהנילון ראיות לאימות פרטי התלונה או התשובה.</w:t>
      </w:r>
    </w:p>
    <w:p w:rsidR="00C73556" w:rsidRDefault="00C73556">
      <w:pPr>
        <w:pStyle w:val="P00"/>
        <w:spacing w:before="72"/>
        <w:ind w:left="0" w:right="1134"/>
        <w:rPr>
          <w:rStyle w:val="default"/>
          <w:rFonts w:cs="FrankRuehl" w:hint="cs"/>
          <w:rtl/>
        </w:rPr>
      </w:pPr>
      <w:bookmarkStart w:id="5" w:name="Seif5"/>
      <w:bookmarkEnd w:id="5"/>
      <w:r>
        <w:rPr>
          <w:lang w:val="he-IL"/>
        </w:rPr>
        <w:pict>
          <v:rect id="_x0000_s1085" style="position:absolute;left:0;text-align:left;margin-left:464.35pt;margin-top:7.1pt;width:75.05pt;height:23.05pt;z-index:251642368"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ידיעה על עבירת משמעת שלא בדרך תלונה</w:t>
                  </w:r>
                </w:p>
              </w:txbxContent>
            </v:textbox>
            <w10:anchorlock/>
          </v:rect>
        </w:pict>
      </w:r>
      <w:r>
        <w:rPr>
          <w:rStyle w:val="big-number"/>
          <w:rFonts w:hint="cs"/>
          <w:rtl/>
        </w:rPr>
        <w:t>5</w:t>
      </w:r>
      <w:r>
        <w:rPr>
          <w:rStyle w:val="default"/>
          <w:rFonts w:cs="FrankRuehl"/>
          <w:rtl/>
        </w:rPr>
        <w:t>.</w:t>
      </w:r>
      <w:r>
        <w:rPr>
          <w:rStyle w:val="default"/>
          <w:rFonts w:cs="FrankRuehl"/>
          <w:rtl/>
        </w:rPr>
        <w:tab/>
      </w:r>
      <w:r>
        <w:rPr>
          <w:rStyle w:val="default"/>
          <w:rFonts w:cs="FrankRuehl" w:hint="cs"/>
          <w:rtl/>
        </w:rPr>
        <w:t>הגיעה לתובע ידיעה על עבירת משמעת שלא בדרך תלונה, והוא סבור שיש בה לכאורה ממש, יודיע על כך לנילון, וייתן לו הזדמנות להשיב עליה.</w:t>
      </w:r>
    </w:p>
    <w:p w:rsidR="00C73556" w:rsidRDefault="00C73556">
      <w:pPr>
        <w:pStyle w:val="P00"/>
        <w:spacing w:before="72"/>
        <w:ind w:left="0" w:right="1134"/>
        <w:rPr>
          <w:rStyle w:val="default"/>
          <w:rFonts w:cs="FrankRuehl" w:hint="cs"/>
          <w:rtl/>
        </w:rPr>
      </w:pPr>
      <w:bookmarkStart w:id="6" w:name="Seif6"/>
      <w:bookmarkEnd w:id="6"/>
      <w:r>
        <w:rPr>
          <w:lang w:val="he-IL"/>
        </w:rPr>
        <w:pict>
          <v:rect id="_x0000_s1086" style="position:absolute;left:0;text-align:left;margin-left:464.35pt;margin-top:7.1pt;width:75.05pt;height:10.2pt;z-index:251643392"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אי-הגשת קובלנה</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ראה התובע כי אין לכאורה ממש בתלונה או כי אין מקום להגיש קובלנה, יודיע על כך לנילון, נוסף על ההודעה המנומקת למתלונן לפי סעיף 23 לחוק.</w:t>
      </w:r>
    </w:p>
    <w:p w:rsidR="00C73556" w:rsidRDefault="00C73556">
      <w:pPr>
        <w:pStyle w:val="P00"/>
        <w:spacing w:before="72"/>
        <w:ind w:left="0" w:right="1134"/>
        <w:rPr>
          <w:rStyle w:val="default"/>
          <w:rFonts w:cs="FrankRuehl" w:hint="cs"/>
          <w:rtl/>
        </w:rPr>
      </w:pPr>
      <w:bookmarkStart w:id="7" w:name="Seif7"/>
      <w:bookmarkEnd w:id="7"/>
      <w:r>
        <w:rPr>
          <w:lang w:val="he-IL"/>
        </w:rPr>
        <w:pict>
          <v:rect id="_x0000_s1087" style="position:absolute;left:0;text-align:left;margin-left:464.35pt;margin-top:7.1pt;width:75.05pt;height:10.2pt;z-index:251644416"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הגשת קובלנה</w:t>
                  </w:r>
                </w:p>
              </w:txbxContent>
            </v:textbox>
            <w10:anchorlock/>
          </v:rect>
        </w:pict>
      </w:r>
      <w:r>
        <w:rPr>
          <w:rStyle w:val="big-number"/>
          <w:rFonts w:hint="cs"/>
          <w:rt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ראה התובע, על פי החומר שנאסף, כי יש מקום להגיש קובלנה נגד הנילון, יגישה לוועדת משמעת.</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קובלנה תוגש בארבעה עותקים ובעותקים נוספים כמספר הנקבלים בה.</w:t>
      </w:r>
    </w:p>
    <w:p w:rsidR="00C73556" w:rsidRDefault="00C735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עותק מהקובלנה יומצא לנקבל בהקדם האפשרי ולא יאוחר משלושים ימים לפני תחילת הדיון.</w:t>
      </w:r>
    </w:p>
    <w:p w:rsidR="00C73556" w:rsidRDefault="00C73556">
      <w:pPr>
        <w:pStyle w:val="P00"/>
        <w:spacing w:before="72"/>
        <w:ind w:left="0" w:right="1134"/>
        <w:rPr>
          <w:rStyle w:val="default"/>
          <w:rFonts w:cs="FrankRuehl" w:hint="cs"/>
          <w:rtl/>
        </w:rPr>
      </w:pPr>
      <w:bookmarkStart w:id="8" w:name="Seif8"/>
      <w:bookmarkEnd w:id="8"/>
      <w:r>
        <w:rPr>
          <w:lang w:val="he-IL"/>
        </w:rPr>
        <w:pict>
          <v:rect id="_x0000_s1088" style="position:absolute;left:0;text-align:left;margin-left:464.35pt;margin-top:7.1pt;width:75.05pt;height:10.2pt;z-index:251645440"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עריכת קובלנה</w:t>
                  </w:r>
                </w:p>
              </w:txbxContent>
            </v:textbox>
            <w10:anchorlock/>
          </v:rect>
        </w:pict>
      </w:r>
      <w:r>
        <w:rPr>
          <w:rStyle w:val="big-number"/>
          <w:rFonts w:hint="cs"/>
          <w:rtl/>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קובלנה תיערך בכתב ותכיל פרטים אלה:</w:t>
      </w:r>
    </w:p>
    <w:p w:rsidR="00C73556" w:rsidRDefault="00C735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התובע;</w:t>
      </w:r>
    </w:p>
    <w:p w:rsidR="00C73556" w:rsidRDefault="00C735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 הנקבל, מספר הזהות שלו, מספר רישומו בפנקס ומען מגוריו או מקום עבודתו;</w:t>
      </w:r>
    </w:p>
    <w:p w:rsidR="00C73556" w:rsidRDefault="00C735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העובדות המשמשות בסיס לקובלנה;</w:t>
      </w:r>
    </w:p>
    <w:p w:rsidR="00C73556" w:rsidRDefault="00C7355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פירוט העבירות המיוחסות לנקבל;</w:t>
      </w:r>
    </w:p>
    <w:p w:rsidR="00C73556" w:rsidRDefault="00C7355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ציון שמות העדים.</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לקובלנה יצורפו השומה נושא הקובלנה או כל מסמך אחר שיש בו כדי לבסס את הקובלנה.</w:t>
      </w:r>
    </w:p>
    <w:p w:rsidR="00C73556" w:rsidRDefault="00C73556">
      <w:pPr>
        <w:pStyle w:val="P00"/>
        <w:spacing w:before="72"/>
        <w:ind w:left="0" w:right="1134"/>
        <w:rPr>
          <w:rStyle w:val="default"/>
          <w:rFonts w:cs="FrankRuehl" w:hint="cs"/>
          <w:rtl/>
        </w:rPr>
      </w:pPr>
      <w:bookmarkStart w:id="9" w:name="Seif9"/>
      <w:bookmarkEnd w:id="9"/>
      <w:r>
        <w:rPr>
          <w:lang w:val="he-IL"/>
        </w:rPr>
        <w:pict>
          <v:rect id="_x0000_s1089" style="position:absolute;left:0;text-align:left;margin-left:464.35pt;margin-top:7.1pt;width:75.05pt;height:19.95pt;z-index:251646464"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זכות עיון וסייג להבאת ראיות</w:t>
                  </w:r>
                </w:p>
              </w:txbxContent>
            </v:textbox>
            <w10:anchorlock/>
          </v:rect>
        </w:pict>
      </w:r>
      <w:r>
        <w:rPr>
          <w:rStyle w:val="big-number"/>
          <w:rFonts w:hint="cs"/>
          <w:rtl/>
        </w:rPr>
        <w:t>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הוגשה קובלנה, רשאי הנקבל, בכל זמן סביר, לעיין בחומר הבירור הנוגע לקובלנה נגדו שאסף התובע ולהעתיקו.</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בתקנה זו כדי לפגוע בהוראות פרק ג' לפקודת הראיות [נוסח חדש], התשל"א-1971, או כדי לאפשר עיון בחומר כאמור בתקנת משנה (א), שאי גילויו מותר או שגילויו אסור לפי כל דין.</w:t>
      </w:r>
    </w:p>
    <w:p w:rsidR="00C73556" w:rsidRDefault="00C735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יגיש תובע לוועדת המשמעת חומר כאמור בתקנת משנה (א), אם לא ניתנה לנקבל הזדמנות סבירה לעיין בו או להעתיקו, זולת אם ויתר על כך, או חומר שאי גילויו מותר או שגילויו אסור לפי כל דין, כאמור בתקנת משנה (ב).</w:t>
      </w:r>
    </w:p>
    <w:p w:rsidR="00C73556" w:rsidRDefault="00C73556">
      <w:pPr>
        <w:pStyle w:val="P00"/>
        <w:spacing w:before="72"/>
        <w:ind w:left="0" w:right="1134"/>
        <w:rPr>
          <w:rStyle w:val="default"/>
          <w:rFonts w:cs="FrankRuehl" w:hint="cs"/>
          <w:rtl/>
        </w:rPr>
      </w:pPr>
      <w:bookmarkStart w:id="10" w:name="Seif10"/>
      <w:bookmarkEnd w:id="10"/>
      <w:r>
        <w:rPr>
          <w:lang w:val="he-IL"/>
        </w:rPr>
        <w:pict>
          <v:rect id="_x0000_s1090" style="position:absolute;left:0;text-align:left;margin-left:464.35pt;margin-top:7.1pt;width:75.05pt;height:10.2pt;z-index:251647488"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צירוף אישומים</w:t>
                  </w:r>
                </w:p>
              </w:txbxContent>
            </v:textbox>
            <w10:anchorlock/>
          </v:rect>
        </w:pict>
      </w:r>
      <w:r>
        <w:rPr>
          <w:rStyle w:val="big-number"/>
          <w:rFonts w:hint="cs"/>
          <w:rtl/>
        </w:rPr>
        <w:t>10</w:t>
      </w:r>
      <w:r>
        <w:rPr>
          <w:rStyle w:val="default"/>
          <w:rFonts w:cs="FrankRuehl"/>
          <w:rtl/>
        </w:rPr>
        <w:t>.</w:t>
      </w:r>
      <w:r>
        <w:rPr>
          <w:rStyle w:val="default"/>
          <w:rFonts w:cs="FrankRuehl"/>
          <w:rtl/>
        </w:rPr>
        <w:tab/>
      </w:r>
      <w:r>
        <w:rPr>
          <w:rStyle w:val="default"/>
          <w:rFonts w:cs="FrankRuehl" w:hint="cs"/>
          <w:rtl/>
        </w:rPr>
        <w:t>מותר לצרף בקובלנה אחת אישומי משמעת אחדים המתייחסים לאותו נקבל, אם הם מבוססים על אותן עובדות או על עובדות דומות או על סדרת מעשים הקשורים זה לזה באופן שהם מהווים מאורע אחד.</w:t>
      </w:r>
    </w:p>
    <w:p w:rsidR="00C73556" w:rsidRDefault="00C73556">
      <w:pPr>
        <w:pStyle w:val="P00"/>
        <w:spacing w:before="72"/>
        <w:ind w:left="0" w:right="1134"/>
        <w:rPr>
          <w:rStyle w:val="default"/>
          <w:rFonts w:cs="FrankRuehl" w:hint="cs"/>
          <w:rtl/>
        </w:rPr>
      </w:pPr>
      <w:bookmarkStart w:id="11" w:name="Seif11"/>
      <w:bookmarkEnd w:id="11"/>
      <w:r>
        <w:rPr>
          <w:lang w:val="he-IL"/>
        </w:rPr>
        <w:pict>
          <v:rect id="_x0000_s1091" style="position:absolute;left:0;text-align:left;margin-left:464.35pt;margin-top:7.1pt;width:75.05pt;height:10.2pt;z-index:251648512"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צירוף נקבלים</w:t>
                  </w:r>
                </w:p>
              </w:txbxContent>
            </v:textbox>
            <w10:anchorlock/>
          </v:rect>
        </w:pict>
      </w:r>
      <w:r>
        <w:rPr>
          <w:rStyle w:val="big-number"/>
          <w:rFonts w:hint="cs"/>
          <w:rtl/>
        </w:rPr>
        <w:t>11</w:t>
      </w:r>
      <w:r>
        <w:rPr>
          <w:rStyle w:val="default"/>
          <w:rFonts w:cs="FrankRuehl"/>
          <w:rtl/>
        </w:rPr>
        <w:t>.</w:t>
      </w:r>
      <w:r>
        <w:rPr>
          <w:rStyle w:val="default"/>
          <w:rFonts w:cs="FrankRuehl"/>
          <w:rtl/>
        </w:rPr>
        <w:tab/>
      </w:r>
      <w:r>
        <w:rPr>
          <w:rStyle w:val="default"/>
          <w:rFonts w:cs="FrankRuehl" w:hint="cs"/>
          <w:rtl/>
        </w:rPr>
        <w:t>מותר להאשים בקובלנה אחת כמה נקבלים, אם כל אחד מהם היה צד לאחת מהעבירות שבקובלנה או אם האישום הוא בשל סדרת מעשים המיוחסים לנקבלים והקשורים זה לזה באופן שהם מהווים מאורע אחד.</w:t>
      </w:r>
    </w:p>
    <w:p w:rsidR="00C73556" w:rsidRDefault="00C73556">
      <w:pPr>
        <w:pStyle w:val="P00"/>
        <w:spacing w:before="72"/>
        <w:ind w:left="0" w:right="1134"/>
        <w:rPr>
          <w:rStyle w:val="default"/>
          <w:rFonts w:cs="FrankRuehl" w:hint="cs"/>
          <w:rtl/>
        </w:rPr>
      </w:pPr>
      <w:bookmarkStart w:id="12" w:name="Seif12"/>
      <w:bookmarkEnd w:id="12"/>
      <w:r>
        <w:rPr>
          <w:lang w:val="he-IL"/>
        </w:rPr>
        <w:pict>
          <v:rect id="_x0000_s1092" style="position:absolute;left:0;text-align:left;margin-left:464.35pt;margin-top:7.1pt;width:75.05pt;height:10.2pt;z-index:251649536"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הפרדת הדיון</w:t>
                  </w:r>
                </w:p>
              </w:txbxContent>
            </v:textbox>
            <w10:anchorlock/>
          </v:rect>
        </w:pict>
      </w:r>
      <w:r>
        <w:rPr>
          <w:rStyle w:val="big-number"/>
          <w:rFonts w:hint="cs"/>
          <w:rtl/>
        </w:rPr>
        <w:t>12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ועדת משמעת רשאית, בכל שלב שלפני הכרעת הדין, לצוות על הפרדת הדיון באישום פלוני שנכלל בקובלנה או על הפרדת דיונו של נקבל פלוני שהואשם עם אחרים.</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הופרד הדיון, תוגש קובלנה נפרדת בשל אישום שהדיון בו הופרד או נגד נקבל שדיונו הופרד.</w:t>
      </w:r>
    </w:p>
    <w:p w:rsidR="00C73556" w:rsidRDefault="00C73556">
      <w:pPr>
        <w:pStyle w:val="P00"/>
        <w:spacing w:before="72"/>
        <w:ind w:left="0" w:right="1134"/>
        <w:rPr>
          <w:rStyle w:val="default"/>
          <w:rFonts w:cs="FrankRuehl" w:hint="cs"/>
          <w:rtl/>
        </w:rPr>
      </w:pPr>
      <w:bookmarkStart w:id="13" w:name="Seif13"/>
      <w:bookmarkEnd w:id="13"/>
      <w:r>
        <w:rPr>
          <w:lang w:val="he-IL"/>
        </w:rPr>
        <w:pict>
          <v:rect id="_x0000_s1093" style="position:absolute;left:0;text-align:left;margin-left:464.35pt;margin-top:7.1pt;width:75.05pt;height:16.25pt;z-index:251650560"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חזרה מקובלנה או תיקונה</w:t>
                  </w:r>
                </w:p>
              </w:txbxContent>
            </v:textbox>
            <w10:anchorlock/>
          </v:rect>
        </w:pict>
      </w:r>
      <w:r>
        <w:rPr>
          <w:rStyle w:val="big-number"/>
          <w:rFonts w:hint="cs"/>
          <w:rtl/>
        </w:rPr>
        <w:t>13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תובע רשאי לחזור בו מהאישומים שבקובלנה, כולם או מקצתם, או לתקנם; חזרה או תיקון לפני תחילת הדיון יהיו בהודעה בכתב לוועדת המשמעת; חזרה או תיקון אחרי תחילת הדיון יהיו ברשות ועדת המשמעת.</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חזר בו התובע מהאישומים שבקובלנה, כולם או מקצתם, לאחר תחילת הדיון ולפני תשובת הנקבל לאישום, תבטל ועדת המשמעת את הקובלנה, כולה או מקצתה; חזר בו לאחר מכן, תזכה ועדת המשמעת את הנקבל מהקובלנה, כולה או מקצתה.</w:t>
      </w:r>
    </w:p>
    <w:p w:rsidR="00C73556" w:rsidRDefault="00C735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חזרה מהקובלנה, כולה או מקצתה, או על תיקון הקובלנה תומצא לנקבל.</w:t>
      </w:r>
    </w:p>
    <w:p w:rsidR="00C73556" w:rsidRDefault="00C73556">
      <w:pPr>
        <w:pStyle w:val="header-2"/>
        <w:ind w:left="0" w:right="1134"/>
        <w:rPr>
          <w:rFonts w:cs="Miriam" w:hint="cs"/>
          <w:rtl/>
        </w:rPr>
      </w:pPr>
      <w:r>
        <w:rPr>
          <w:rFonts w:cs="Miriam" w:hint="cs"/>
          <w:rtl/>
        </w:rPr>
        <w:t>סימן ב': הזמנת בעלי הדין והעדים</w:t>
      </w:r>
    </w:p>
    <w:p w:rsidR="00C73556" w:rsidRDefault="00C73556">
      <w:pPr>
        <w:pStyle w:val="P00"/>
        <w:spacing w:before="72"/>
        <w:ind w:left="0" w:right="1134"/>
        <w:rPr>
          <w:rStyle w:val="default"/>
          <w:rFonts w:cs="FrankRuehl" w:hint="cs"/>
          <w:rtl/>
        </w:rPr>
      </w:pPr>
      <w:bookmarkStart w:id="14" w:name="Seif14"/>
      <w:bookmarkEnd w:id="14"/>
      <w:r>
        <w:rPr>
          <w:lang w:val="he-IL"/>
        </w:rPr>
        <w:pict>
          <v:rect id="_x0000_s1094" style="position:absolute;left:0;text-align:left;margin-left:464.35pt;margin-top:7.1pt;width:75.05pt;height:10.2pt;z-index:251651584"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הזמנה לדיון</w:t>
                  </w:r>
                </w:p>
              </w:txbxContent>
            </v:textbox>
            <w10:anchorlock/>
          </v:rect>
        </w:pict>
      </w:r>
      <w:r>
        <w:rPr>
          <w:rStyle w:val="big-number"/>
          <w:rFonts w:hint="cs"/>
          <w:rtl/>
        </w:rPr>
        <w:t>14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יושב ראש ועדת משמעת יקבע את מועד הדיון ומקומו; התובע והנקבל יקבלו הזמנה בכתב שיצוינו בה המקום והמועד להתייצבותם; ואולם אם נקבעה ישיבה נדחית בנוכחות התובע והנקבל או בא כוחו, לא תהא חובה להזמינם כאמור.</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הוזמן הנקבל כאמור ולא התייצב לדיון, רשאית הוועדה לדון בקובלנה בהיעדרו.</w:t>
      </w:r>
    </w:p>
    <w:p w:rsidR="00C73556" w:rsidRDefault="00C73556">
      <w:pPr>
        <w:pStyle w:val="P00"/>
        <w:spacing w:before="72"/>
        <w:ind w:left="0" w:right="1134"/>
        <w:rPr>
          <w:rStyle w:val="default"/>
          <w:rFonts w:cs="FrankRuehl" w:hint="cs"/>
          <w:rtl/>
        </w:rPr>
      </w:pPr>
      <w:bookmarkStart w:id="15" w:name="Seif15"/>
      <w:bookmarkEnd w:id="15"/>
      <w:r>
        <w:rPr>
          <w:lang w:val="he-IL"/>
        </w:rPr>
        <w:pict>
          <v:rect id="_x0000_s1095" style="position:absolute;left:0;text-align:left;margin-left:464.35pt;margin-top:7.1pt;width:75.05pt;height:10.2pt;z-index:251652608"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הזמנת עדים</w:t>
                  </w:r>
                </w:p>
              </w:txbxContent>
            </v:textbox>
            <w10:anchorlock/>
          </v:rect>
        </w:pict>
      </w:r>
      <w:r>
        <w:rPr>
          <w:rStyle w:val="big-number"/>
          <w:rFonts w:hint="cs"/>
          <w:rtl/>
        </w:rPr>
        <w:t>15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יושב ראש ועדת משמעת יזמין לדיון את העדים אשר ועדת משמעת ראתה לנכון להזמין לשם מסירת מידע או הגשת מסמכים שברשותם, בין לבקשת התובע או הנקבל ובין מיזמתה.</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הזמנת עד תהיה בהמצאת הזמנה בכתב לעד או בהודעה בעל פה לעד על ידי ועדת המשמעת בשעת הדיון.</w:t>
      </w:r>
    </w:p>
    <w:p w:rsidR="00C73556" w:rsidRDefault="00C73556">
      <w:pPr>
        <w:pStyle w:val="P00"/>
        <w:spacing w:before="72"/>
        <w:ind w:left="0" w:right="1134"/>
        <w:rPr>
          <w:rStyle w:val="default"/>
          <w:rFonts w:cs="FrankRuehl" w:hint="cs"/>
          <w:rtl/>
        </w:rPr>
      </w:pPr>
      <w:bookmarkStart w:id="16" w:name="Seif16"/>
      <w:bookmarkEnd w:id="16"/>
      <w:r>
        <w:rPr>
          <w:lang w:val="he-IL"/>
        </w:rPr>
        <w:pict>
          <v:rect id="_x0000_s1096" style="position:absolute;left:0;text-align:left;margin-left:464.35pt;margin-top:7.1pt;width:75.05pt;height:10.2pt;z-index:251653632"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צורת הזמנה ותוכנה</w:t>
                  </w:r>
                </w:p>
              </w:txbxContent>
            </v:textbox>
            <w10:anchorlock/>
          </v:rect>
        </w:pict>
      </w:r>
      <w:r>
        <w:rPr>
          <w:rStyle w:val="big-number"/>
          <w:rFonts w:hint="cs"/>
          <w:rtl/>
        </w:rPr>
        <w:t>16</w:t>
      </w:r>
      <w:r>
        <w:rPr>
          <w:rStyle w:val="default"/>
          <w:rFonts w:cs="FrankRuehl"/>
          <w:rtl/>
        </w:rPr>
        <w:t>.</w:t>
      </w:r>
      <w:r>
        <w:rPr>
          <w:rStyle w:val="default"/>
          <w:rFonts w:cs="FrankRuehl"/>
          <w:rtl/>
        </w:rPr>
        <w:tab/>
      </w:r>
      <w:r>
        <w:rPr>
          <w:rStyle w:val="default"/>
          <w:rFonts w:cs="FrankRuehl" w:hint="cs"/>
          <w:rtl/>
        </w:rPr>
        <w:t>הזמנת עד בכתב תהיה חתומה ביד מי שמינה לכך יושב ראש ועדת המשמעת ותכיל פרטים אלה:</w:t>
      </w:r>
    </w:p>
    <w:p w:rsidR="00C73556" w:rsidRDefault="00C7355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המוזמן ומענו;</w:t>
      </w:r>
    </w:p>
    <w:p w:rsidR="00C73556" w:rsidRDefault="00C7355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שם התובע;</w:t>
      </w:r>
    </w:p>
    <w:p w:rsidR="00C73556" w:rsidRDefault="00C7355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שם הנקבל;</w:t>
      </w:r>
    </w:p>
    <w:p w:rsidR="00C73556" w:rsidRDefault="00C7355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המקום והמועד שבהם יש להתייצב או להגיש את המסמכים שיפורטו בהזמנה.</w:t>
      </w:r>
    </w:p>
    <w:p w:rsidR="00C73556" w:rsidRDefault="00C73556">
      <w:pPr>
        <w:pStyle w:val="medium2-header"/>
        <w:keepLines w:val="0"/>
        <w:spacing w:before="72"/>
        <w:ind w:left="0" w:right="1134"/>
        <w:rPr>
          <w:rFonts w:cs="FrankRuehl" w:hint="cs"/>
          <w:noProof/>
          <w:rtl/>
        </w:rPr>
      </w:pPr>
      <w:bookmarkStart w:id="17" w:name="med1"/>
      <w:bookmarkEnd w:id="17"/>
      <w:r>
        <w:rPr>
          <w:rFonts w:cs="FrankRuehl" w:hint="cs"/>
          <w:noProof/>
          <w:rtl/>
        </w:rPr>
        <w:t>פרק שני: הליכי הדיון לפני ועדת המשמעת</w:t>
      </w:r>
    </w:p>
    <w:p w:rsidR="00C73556" w:rsidRDefault="00C73556">
      <w:pPr>
        <w:pStyle w:val="header-2"/>
        <w:ind w:left="0" w:right="1134"/>
        <w:rPr>
          <w:rFonts w:cs="Miriam" w:hint="cs"/>
          <w:rtl/>
        </w:rPr>
      </w:pPr>
      <w:r>
        <w:rPr>
          <w:rFonts w:cs="Miriam" w:hint="cs"/>
          <w:rtl/>
        </w:rPr>
        <w:t>סימן א': ניהול הדיון</w:t>
      </w:r>
    </w:p>
    <w:p w:rsidR="00C73556" w:rsidRDefault="00C73556">
      <w:pPr>
        <w:pStyle w:val="P00"/>
        <w:spacing w:before="72"/>
        <w:ind w:left="0" w:right="1134"/>
        <w:rPr>
          <w:rStyle w:val="default"/>
          <w:rFonts w:cs="FrankRuehl" w:hint="cs"/>
          <w:rtl/>
        </w:rPr>
      </w:pPr>
      <w:bookmarkStart w:id="18" w:name="Seif17"/>
      <w:bookmarkEnd w:id="18"/>
      <w:r>
        <w:rPr>
          <w:lang w:val="he-IL"/>
        </w:rPr>
        <w:pict>
          <v:rect id="_x0000_s1097" style="position:absolute;left:0;text-align:left;margin-left:464.35pt;margin-top:7.1pt;width:75.05pt;height:10.2pt;z-index:251654656"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ניהול הדיון</w:t>
                  </w:r>
                </w:p>
              </w:txbxContent>
            </v:textbox>
            <w10:anchorlock/>
          </v:rect>
        </w:pict>
      </w:r>
      <w:r>
        <w:rPr>
          <w:rStyle w:val="big-number"/>
          <w:rFonts w:hint="cs"/>
          <w:rtl/>
        </w:rPr>
        <w:t>17</w:t>
      </w:r>
      <w:r>
        <w:rPr>
          <w:rStyle w:val="default"/>
          <w:rFonts w:cs="FrankRuehl"/>
          <w:rtl/>
        </w:rPr>
        <w:t>.</w:t>
      </w:r>
      <w:r>
        <w:rPr>
          <w:rStyle w:val="default"/>
          <w:rFonts w:cs="FrankRuehl"/>
          <w:rtl/>
        </w:rPr>
        <w:tab/>
      </w:r>
      <w:r>
        <w:rPr>
          <w:rStyle w:val="default"/>
          <w:rFonts w:cs="FrankRuehl" w:hint="cs"/>
          <w:rtl/>
        </w:rPr>
        <w:t>יושב ראש ועדת משמעת ינהל את הדיון, והוא רשאי להורות כל הוראה הדרושה לקיום הסדר במקום הדיון.</w:t>
      </w:r>
    </w:p>
    <w:p w:rsidR="00C73556" w:rsidRDefault="00C73556">
      <w:pPr>
        <w:pStyle w:val="P00"/>
        <w:spacing w:before="72"/>
        <w:ind w:left="0" w:right="1134"/>
        <w:rPr>
          <w:rStyle w:val="default"/>
          <w:rFonts w:cs="FrankRuehl" w:hint="cs"/>
          <w:rtl/>
        </w:rPr>
      </w:pPr>
      <w:bookmarkStart w:id="19" w:name="Seif18"/>
      <w:bookmarkEnd w:id="19"/>
      <w:r>
        <w:rPr>
          <w:lang w:val="he-IL"/>
        </w:rPr>
        <w:pict>
          <v:rect id="_x0000_s1098" style="position:absolute;left:0;text-align:left;margin-left:464.35pt;margin-top:7.1pt;width:75.05pt;height:10.2pt;z-index:251655680"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פרוטוקול</w:t>
                  </w:r>
                </w:p>
              </w:txbxContent>
            </v:textbox>
            <w10:anchorlock/>
          </v:rect>
        </w:pict>
      </w:r>
      <w:r>
        <w:rPr>
          <w:rStyle w:val="big-number"/>
          <w:rFonts w:hint="cs"/>
          <w:rtl/>
        </w:rPr>
        <w:t>18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יושב ראש ועדת משמעת ינהל פרוטוקול של הדיון, אולם רשאי הוא להורות שהפרוטוקול יירשם בידי אחר או שינוהל בדרך אחרת.</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הקובלנה, הפרוטוקול וכל המסמכים שהוגשו לוועדת המשמעת בנוגע לאותו דיון יתויקו בתיק הדיון.</w:t>
      </w:r>
    </w:p>
    <w:p w:rsidR="00C73556" w:rsidRDefault="00C73556">
      <w:pPr>
        <w:pStyle w:val="header-2"/>
        <w:ind w:left="0" w:right="1134"/>
        <w:rPr>
          <w:rFonts w:cs="Miriam" w:hint="cs"/>
          <w:rtl/>
        </w:rPr>
      </w:pPr>
      <w:r>
        <w:rPr>
          <w:rFonts w:cs="Miriam" w:hint="cs"/>
          <w:rtl/>
        </w:rPr>
        <w:t>סימן ב': בירור האשמה</w:t>
      </w:r>
    </w:p>
    <w:p w:rsidR="00C73556" w:rsidRDefault="00C73556">
      <w:pPr>
        <w:pStyle w:val="P00"/>
        <w:spacing w:before="72"/>
        <w:ind w:left="0" w:right="1134"/>
        <w:rPr>
          <w:rStyle w:val="default"/>
          <w:rFonts w:cs="FrankRuehl" w:hint="cs"/>
          <w:rtl/>
        </w:rPr>
      </w:pPr>
      <w:bookmarkStart w:id="20" w:name="Seif19"/>
      <w:bookmarkEnd w:id="20"/>
      <w:r>
        <w:rPr>
          <w:lang w:val="he-IL"/>
        </w:rPr>
        <w:pict>
          <v:rect id="_x0000_s1099" style="position:absolute;left:0;text-align:left;margin-left:464.35pt;margin-top:7.1pt;width:75.05pt;height:17.1pt;z-index:251656704"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תשובת הנקבל לקובלנה</w:t>
                  </w:r>
                </w:p>
              </w:txbxContent>
            </v:textbox>
            <w10:anchorlock/>
          </v:rect>
        </w:pict>
      </w:r>
      <w:r>
        <w:rPr>
          <w:rStyle w:val="big-number"/>
          <w:rFonts w:hint="cs"/>
          <w:rtl/>
        </w:rPr>
        <w:t>19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בתחילת הדיון יזהה יושב ראש ועדת משמעת את הנקבל, יקרא לפניו את הקובלנה וישאל אותו לתשובתו לקובלנה.</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הנקבל רשאי להודות בעובדות הנטענות בכתב הקובלנה, כולן או מקצתן, או לכפור בהן וכן לטעון עובדות נוספות, בין אם הודה כאמור ובין אם לאו; לא כפר הנקבל בעובדה, יראוה כאילו הודה בה, זולת אם החליטה ועדת המשמעת שלא לראותה כך.</w:t>
      </w:r>
    </w:p>
    <w:p w:rsidR="00C73556" w:rsidRDefault="00C73556">
      <w:pPr>
        <w:pStyle w:val="P00"/>
        <w:spacing w:before="72"/>
        <w:ind w:left="0" w:right="1134"/>
        <w:rPr>
          <w:rStyle w:val="default"/>
          <w:rFonts w:cs="FrankRuehl" w:hint="cs"/>
          <w:rtl/>
        </w:rPr>
      </w:pPr>
      <w:bookmarkStart w:id="21" w:name="Seif20"/>
      <w:bookmarkEnd w:id="21"/>
      <w:r>
        <w:rPr>
          <w:lang w:val="he-IL"/>
        </w:rPr>
        <w:pict>
          <v:rect id="_x0000_s1100" style="position:absolute;left:0;text-align:left;margin-left:464.35pt;margin-top:7.1pt;width:75.05pt;height:14.4pt;z-index:251657728"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ראיות מטעם התובע והנקבל</w:t>
                  </w:r>
                </w:p>
              </w:txbxContent>
            </v:textbox>
            <w10:anchorlock/>
          </v:rect>
        </w:pict>
      </w:r>
      <w:r>
        <w:rPr>
          <w:rStyle w:val="big-number"/>
          <w:rFonts w:hint="cs"/>
          <w:rtl/>
        </w:rPr>
        <w:t>20</w:t>
      </w:r>
      <w:r>
        <w:rPr>
          <w:rStyle w:val="default"/>
          <w:rFonts w:cs="FrankRuehl"/>
          <w:rtl/>
        </w:rPr>
        <w:t>.</w:t>
      </w:r>
      <w:r>
        <w:rPr>
          <w:rStyle w:val="default"/>
          <w:rFonts w:cs="FrankRuehl"/>
          <w:rtl/>
        </w:rPr>
        <w:tab/>
      </w:r>
      <w:r>
        <w:rPr>
          <w:rStyle w:val="default"/>
          <w:rFonts w:cs="FrankRuehl" w:hint="cs"/>
          <w:rtl/>
        </w:rPr>
        <w:t>כפר הנקבל בפני ועדת משמעת בעובדות הנטענות בקובלנה, כולן או מקצתן או טען עובדות נוספות, רשאים התובע ואחריו הנקבל להביא עדים מטעמם ולהגיש ראיות אחרות.</w:t>
      </w:r>
    </w:p>
    <w:p w:rsidR="00C73556" w:rsidRDefault="00C73556">
      <w:pPr>
        <w:pStyle w:val="P00"/>
        <w:spacing w:before="72"/>
        <w:ind w:left="0" w:right="1134"/>
        <w:rPr>
          <w:rStyle w:val="default"/>
          <w:rFonts w:cs="FrankRuehl" w:hint="cs"/>
          <w:rtl/>
        </w:rPr>
      </w:pPr>
      <w:bookmarkStart w:id="22" w:name="Seif21"/>
      <w:bookmarkEnd w:id="22"/>
      <w:r>
        <w:rPr>
          <w:lang w:val="he-IL"/>
        </w:rPr>
        <w:pict>
          <v:rect id="_x0000_s1101" style="position:absolute;left:0;text-align:left;margin-left:464.35pt;margin-top:7.1pt;width:75.05pt;height:26.25pt;z-index:251658752"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ראיות מטעם ועדת משמעת וראיות נוספות</w:t>
                  </w:r>
                </w:p>
              </w:txbxContent>
            </v:textbox>
            <w10:anchorlock/>
          </v:rect>
        </w:pict>
      </w:r>
      <w:r>
        <w:rPr>
          <w:rStyle w:val="big-number"/>
          <w:rFonts w:hint="cs"/>
          <w:rtl/>
        </w:rPr>
        <w:t>21</w:t>
      </w:r>
      <w:r>
        <w:rPr>
          <w:rStyle w:val="default"/>
          <w:rFonts w:cs="FrankRuehl"/>
          <w:rtl/>
        </w:rPr>
        <w:t>.</w:t>
      </w:r>
      <w:r>
        <w:rPr>
          <w:rStyle w:val="default"/>
          <w:rFonts w:cs="FrankRuehl"/>
          <w:rtl/>
        </w:rPr>
        <w:tab/>
      </w:r>
      <w:r>
        <w:rPr>
          <w:rStyle w:val="default"/>
          <w:rFonts w:cs="FrankRuehl" w:hint="cs"/>
          <w:rtl/>
        </w:rPr>
        <w:t>סיימו התובע והנקבל להביא את ראיותיהם, רשאית ועדת משמעת להזמין עד מטעמה, אפילו נשמעה כבר עדותו, ולהורות על הגשת כל ראיה אחרת, ורשאית היא להרשות לתובע ולנקבל, לבקשתם, להביא ראיות נוספות, והכל אם ראתה צורך בכך.</w:t>
      </w:r>
    </w:p>
    <w:p w:rsidR="00C73556" w:rsidRDefault="00C73556">
      <w:pPr>
        <w:pStyle w:val="P00"/>
        <w:spacing w:before="72"/>
        <w:ind w:left="0" w:right="1134"/>
        <w:rPr>
          <w:rStyle w:val="default"/>
          <w:rFonts w:cs="FrankRuehl" w:hint="cs"/>
          <w:rtl/>
        </w:rPr>
      </w:pPr>
      <w:bookmarkStart w:id="23" w:name="Seif22"/>
      <w:bookmarkEnd w:id="23"/>
      <w:r>
        <w:rPr>
          <w:lang w:val="he-IL"/>
        </w:rPr>
        <w:pict>
          <v:rect id="_x0000_s1102" style="position:absolute;left:0;text-align:left;margin-left:464.35pt;margin-top:7.1pt;width:75.05pt;height:13.95pt;z-index:251659776"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סדר חקירת עדים והגשת ראיות</w:t>
                  </w:r>
                </w:p>
              </w:txbxContent>
            </v:textbox>
            <w10:anchorlock/>
          </v:rect>
        </w:pict>
      </w:r>
      <w:r>
        <w:rPr>
          <w:rStyle w:val="big-number"/>
          <w:rFonts w:hint="cs"/>
          <w:rtl/>
        </w:rPr>
        <w:t>22</w:t>
      </w:r>
      <w:r>
        <w:rPr>
          <w:rStyle w:val="default"/>
          <w:rFonts w:cs="FrankRuehl"/>
          <w:rtl/>
        </w:rPr>
        <w:t>.</w:t>
      </w:r>
      <w:r>
        <w:rPr>
          <w:rStyle w:val="default"/>
          <w:rFonts w:cs="FrankRuehl"/>
          <w:rtl/>
        </w:rPr>
        <w:tab/>
      </w:r>
      <w:r>
        <w:rPr>
          <w:rStyle w:val="default"/>
          <w:rFonts w:cs="FrankRuehl" w:hint="cs"/>
          <w:rtl/>
        </w:rPr>
        <w:t>סדר חקירת העדים והגשת ראיות אחרות יהיה, ככל האפשר, כסדר הנהוג במשפט פלילי.</w:t>
      </w:r>
    </w:p>
    <w:p w:rsidR="00C73556" w:rsidRDefault="00C73556">
      <w:pPr>
        <w:pStyle w:val="P00"/>
        <w:spacing w:before="72"/>
        <w:ind w:left="0" w:right="1134"/>
        <w:rPr>
          <w:rStyle w:val="default"/>
          <w:rFonts w:cs="FrankRuehl" w:hint="cs"/>
          <w:rtl/>
        </w:rPr>
      </w:pPr>
      <w:bookmarkStart w:id="24" w:name="Seif23"/>
      <w:bookmarkEnd w:id="24"/>
      <w:r>
        <w:rPr>
          <w:lang w:val="he-IL"/>
        </w:rPr>
        <w:pict>
          <v:rect id="_x0000_s1103" style="position:absolute;left:0;text-align:left;margin-left:464.35pt;margin-top:7.1pt;width:75.05pt;height:10.2pt;z-index:251660800"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סיכומים</w:t>
                  </w:r>
                </w:p>
              </w:txbxContent>
            </v:textbox>
            <w10:anchorlock/>
          </v:rect>
        </w:pict>
      </w:r>
      <w:r>
        <w:rPr>
          <w:rStyle w:val="big-number"/>
          <w:rFonts w:hint="cs"/>
          <w:rtl/>
        </w:rPr>
        <w:t>23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בתום הבאת הראיות או במקומה </w:t>
      </w:r>
      <w:r>
        <w:rPr>
          <w:rStyle w:val="default"/>
          <w:rFonts w:cs="FrankRuehl"/>
          <w:rtl/>
        </w:rPr>
        <w:t>–</w:t>
      </w:r>
      <w:r>
        <w:rPr>
          <w:rStyle w:val="default"/>
          <w:rFonts w:cs="FrankRuehl" w:hint="cs"/>
          <w:rtl/>
        </w:rPr>
        <w:t xml:space="preserve"> אם לא הובאו ראיות עקב הודאת הנקבל בעובדות או מטעם אחר </w:t>
      </w:r>
      <w:r>
        <w:rPr>
          <w:rStyle w:val="default"/>
          <w:rFonts w:cs="FrankRuehl"/>
          <w:rtl/>
        </w:rPr>
        <w:t>–</w:t>
      </w:r>
      <w:r>
        <w:rPr>
          <w:rStyle w:val="default"/>
          <w:rFonts w:cs="FrankRuehl" w:hint="cs"/>
          <w:rtl/>
        </w:rPr>
        <w:t xml:space="preserve"> רשאים התובע ואחריו הנקבל להשמיע את סיכומיהם לענין האשמה.</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בהסכמת התובע והנקבל רשאית ועדת משמעת להורות שהסיכומים, כולם או מקצתם, יוגשו לה בכתב, במועדים שתקבע.</w:t>
      </w:r>
    </w:p>
    <w:p w:rsidR="00C73556" w:rsidRDefault="00C73556">
      <w:pPr>
        <w:pStyle w:val="header-2"/>
        <w:ind w:left="0" w:right="1134"/>
        <w:rPr>
          <w:rFonts w:cs="Miriam" w:hint="cs"/>
          <w:rtl/>
        </w:rPr>
      </w:pPr>
      <w:r>
        <w:rPr>
          <w:rFonts w:cs="Miriam" w:hint="cs"/>
          <w:rtl/>
        </w:rPr>
        <w:t>סימן ג': פסק דין</w:t>
      </w:r>
    </w:p>
    <w:p w:rsidR="00C73556" w:rsidRDefault="00C73556">
      <w:pPr>
        <w:pStyle w:val="P00"/>
        <w:spacing w:before="72"/>
        <w:ind w:left="0" w:right="1134"/>
        <w:rPr>
          <w:rStyle w:val="default"/>
          <w:rFonts w:cs="FrankRuehl" w:hint="cs"/>
          <w:rtl/>
        </w:rPr>
      </w:pPr>
      <w:bookmarkStart w:id="25" w:name="Seif24"/>
      <w:bookmarkEnd w:id="25"/>
      <w:r>
        <w:rPr>
          <w:lang w:val="he-IL"/>
        </w:rPr>
        <w:pict>
          <v:rect id="_x0000_s1104" style="position:absolute;left:0;text-align:left;margin-left:464.35pt;margin-top:7.1pt;width:75.05pt;height:10.2pt;z-index:251661824"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הכרעת הדין</w:t>
                  </w:r>
                </w:p>
              </w:txbxContent>
            </v:textbox>
            <w10:anchorlock/>
          </v:rect>
        </w:pict>
      </w:r>
      <w:r>
        <w:rPr>
          <w:rStyle w:val="big-number"/>
          <w:rFonts w:hint="cs"/>
          <w:rtl/>
        </w:rPr>
        <w:t>24</w:t>
      </w:r>
      <w:r>
        <w:rPr>
          <w:rStyle w:val="default"/>
          <w:rFonts w:cs="FrankRuehl"/>
          <w:rtl/>
        </w:rPr>
        <w:t>.</w:t>
      </w:r>
      <w:r>
        <w:rPr>
          <w:rStyle w:val="default"/>
          <w:rFonts w:cs="FrankRuehl"/>
          <w:rtl/>
        </w:rPr>
        <w:tab/>
      </w:r>
      <w:r>
        <w:rPr>
          <w:rStyle w:val="default"/>
          <w:rFonts w:cs="FrankRuehl" w:hint="cs"/>
          <w:rtl/>
        </w:rPr>
        <w:t xml:space="preserve">לאחר בירור האשמה ולא יאוחר מ-60 ימים מיום סיום הדיון, ואם נסתיים הדיון בסיכומים בכתב </w:t>
      </w:r>
      <w:r>
        <w:rPr>
          <w:rStyle w:val="default"/>
          <w:rFonts w:cs="FrankRuehl"/>
          <w:rtl/>
        </w:rPr>
        <w:t>–</w:t>
      </w:r>
      <w:r>
        <w:rPr>
          <w:rStyle w:val="default"/>
          <w:rFonts w:cs="FrankRuehl" w:hint="cs"/>
          <w:rtl/>
        </w:rPr>
        <w:t xml:space="preserve"> מיום שנשלמה קבלת סיכומי התובע והנקבל, תכריע ועדת משמעת את דינו של הנקבל; הכרעת הדין תיקרא לפני הנקבל והתובע או שיומצא להם העתק ממנה, כפי שתקבע ועדת המשמעת.</w:t>
      </w:r>
    </w:p>
    <w:p w:rsidR="00C73556" w:rsidRDefault="00C73556">
      <w:pPr>
        <w:pStyle w:val="P00"/>
        <w:spacing w:before="72"/>
        <w:ind w:left="0" w:right="1134"/>
        <w:rPr>
          <w:rStyle w:val="default"/>
          <w:rFonts w:cs="FrankRuehl" w:hint="cs"/>
          <w:rtl/>
        </w:rPr>
      </w:pPr>
      <w:bookmarkStart w:id="26" w:name="Seif25"/>
      <w:bookmarkEnd w:id="26"/>
      <w:r>
        <w:rPr>
          <w:lang w:val="he-IL"/>
        </w:rPr>
        <w:pict>
          <v:rect id="_x0000_s1105" style="position:absolute;left:0;text-align:left;margin-left:464.35pt;margin-top:7.1pt;width:75.05pt;height:18.4pt;z-index:251662848"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הרשעה בעבירות אחדות</w:t>
                  </w:r>
                </w:p>
              </w:txbxContent>
            </v:textbox>
            <w10:anchorlock/>
          </v:rect>
        </w:pict>
      </w:r>
      <w:r>
        <w:rPr>
          <w:rStyle w:val="big-number"/>
          <w:rFonts w:hint="cs"/>
          <w:rtl/>
        </w:rPr>
        <w:t>25</w:t>
      </w:r>
      <w:r>
        <w:rPr>
          <w:rStyle w:val="default"/>
          <w:rFonts w:cs="FrankRuehl"/>
          <w:rtl/>
        </w:rPr>
        <w:t>.</w:t>
      </w:r>
      <w:r>
        <w:rPr>
          <w:rStyle w:val="default"/>
          <w:rFonts w:cs="FrankRuehl"/>
          <w:rtl/>
        </w:rPr>
        <w:tab/>
      </w:r>
      <w:r>
        <w:rPr>
          <w:rStyle w:val="default"/>
          <w:rFonts w:cs="FrankRuehl" w:hint="cs"/>
          <w:rtl/>
        </w:rPr>
        <w:t>ועדת משמעת רשאית להרשיע נקבע בשל כל אחת מן העבירות שיוחסו לו בקובלנה, אך לא תטיל עליו אלא אמצעי משמעת אחד בשל אותו מעשה.</w:t>
      </w:r>
    </w:p>
    <w:p w:rsidR="00C73556" w:rsidRDefault="00C73556">
      <w:pPr>
        <w:pStyle w:val="P00"/>
        <w:spacing w:before="72"/>
        <w:ind w:left="0" w:right="1134"/>
        <w:rPr>
          <w:rStyle w:val="default"/>
          <w:rFonts w:cs="FrankRuehl" w:hint="cs"/>
          <w:rtl/>
        </w:rPr>
      </w:pPr>
      <w:bookmarkStart w:id="27" w:name="Seif26"/>
      <w:bookmarkEnd w:id="27"/>
      <w:r>
        <w:rPr>
          <w:lang w:val="he-IL"/>
        </w:rPr>
        <w:pict>
          <v:rect id="_x0000_s1106" style="position:absolute;left:0;text-align:left;margin-left:464.35pt;margin-top:7.1pt;width:75.05pt;height:19.05pt;z-index:251663872"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טענות וראיות לאמצעי משמעת</w:t>
                  </w:r>
                </w:p>
              </w:txbxContent>
            </v:textbox>
            <w10:anchorlock/>
          </v:rect>
        </w:pict>
      </w:r>
      <w:r>
        <w:rPr>
          <w:rStyle w:val="big-number"/>
          <w:rFonts w:hint="cs"/>
          <w:rtl/>
        </w:rPr>
        <w:t>26</w:t>
      </w:r>
      <w:r>
        <w:rPr>
          <w:rStyle w:val="default"/>
          <w:rFonts w:cs="FrankRuehl"/>
          <w:rtl/>
        </w:rPr>
        <w:t>.</w:t>
      </w:r>
      <w:r>
        <w:rPr>
          <w:rStyle w:val="default"/>
          <w:rFonts w:cs="FrankRuehl"/>
          <w:rtl/>
        </w:rPr>
        <w:tab/>
      </w:r>
      <w:r>
        <w:rPr>
          <w:rStyle w:val="default"/>
          <w:rFonts w:cs="FrankRuehl" w:hint="cs"/>
          <w:rtl/>
        </w:rPr>
        <w:t>הרשיעה ועדת משמעת את הנקבל, רשאים התובע ואחריו הנקבל לטעון את טענותיהם ולהביא את ראיותיהם לענין אמצעי המשמעת במועד שתקבע.</w:t>
      </w:r>
    </w:p>
    <w:p w:rsidR="00C73556" w:rsidRDefault="00C73556">
      <w:pPr>
        <w:pStyle w:val="P00"/>
        <w:spacing w:before="72"/>
        <w:ind w:left="0" w:right="1134"/>
        <w:rPr>
          <w:rStyle w:val="default"/>
          <w:rFonts w:cs="FrankRuehl" w:hint="cs"/>
          <w:rtl/>
        </w:rPr>
      </w:pPr>
      <w:bookmarkStart w:id="28" w:name="Seif27"/>
      <w:bookmarkEnd w:id="28"/>
      <w:r>
        <w:rPr>
          <w:lang w:val="he-IL"/>
        </w:rPr>
        <w:pict>
          <v:rect id="_x0000_s1107" style="position:absolute;left:0;text-align:left;margin-left:464.35pt;margin-top:7.1pt;width:75.05pt;height:14.15pt;z-index:251664896"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נקיטת אמצעי משמעת</w:t>
                  </w:r>
                </w:p>
              </w:txbxContent>
            </v:textbox>
            <w10:anchorlock/>
          </v:rect>
        </w:pict>
      </w:r>
      <w:r>
        <w:rPr>
          <w:rStyle w:val="big-number"/>
          <w:rFonts w:hint="cs"/>
          <w:rtl/>
        </w:rPr>
        <w:t>27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לאחר הטענות והראיות לענין אמצעי המשמעת כאמור בתקנה 26, ולא יאוחר מ-21 ימים מיום סיום הדיון, תקבע ועדת משמעת את החלטתה לענין אמצעי המשמעת; ההחלטה תיקרא בפני הנקבל והתובע או שיומצא להם העתק ממנה, כפי שתקבע ועדת משמעת.</w:t>
      </w:r>
    </w:p>
    <w:p w:rsidR="00C73556" w:rsidRDefault="00C73556">
      <w:pPr>
        <w:pStyle w:val="P00"/>
        <w:spacing w:before="72"/>
        <w:ind w:left="0" w:right="1134"/>
        <w:rPr>
          <w:rStyle w:val="default"/>
          <w:rFonts w:cs="FrankRuehl" w:hint="cs"/>
          <w:rtl/>
        </w:rPr>
      </w:pPr>
      <w:bookmarkStart w:id="29" w:name="Seif28"/>
      <w:bookmarkEnd w:id="29"/>
      <w:r>
        <w:rPr>
          <w:lang w:val="he-IL"/>
        </w:rPr>
        <w:pict>
          <v:rect id="_x0000_s1108" style="position:absolute;left:0;text-align:left;margin-left:464.35pt;margin-top:7.1pt;width:75.05pt;height:10.2pt;z-index:251665920"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המצאת החלטה</w:t>
                  </w:r>
                </w:p>
              </w:txbxContent>
            </v:textbox>
            <w10:anchorlock/>
          </v:rect>
        </w:pict>
      </w:r>
      <w:r>
        <w:rPr>
          <w:rStyle w:val="big-number"/>
          <w:rFonts w:hint="cs"/>
          <w:rtl/>
        </w:rPr>
        <w:t>28</w:t>
      </w:r>
      <w:r>
        <w:rPr>
          <w:rStyle w:val="default"/>
          <w:rFonts w:cs="FrankRuehl"/>
          <w:rtl/>
        </w:rPr>
        <w:t>.</w:t>
      </w:r>
      <w:r>
        <w:rPr>
          <w:rStyle w:val="default"/>
          <w:rFonts w:cs="FrankRuehl"/>
          <w:rtl/>
        </w:rPr>
        <w:tab/>
      </w:r>
      <w:r>
        <w:rPr>
          <w:rStyle w:val="default"/>
          <w:rFonts w:cs="FrankRuehl" w:hint="cs"/>
          <w:rtl/>
        </w:rPr>
        <w:t>העתק מהכרעת דין והחלטה על נקיטת אמצעי משמעת שהוקראו, יומצא לתובע ולנקבל.</w:t>
      </w:r>
    </w:p>
    <w:p w:rsidR="00C73556" w:rsidRDefault="00C73556">
      <w:pPr>
        <w:pStyle w:val="P00"/>
        <w:spacing w:before="72"/>
        <w:ind w:left="0" w:right="1134"/>
        <w:rPr>
          <w:rStyle w:val="default"/>
          <w:rFonts w:cs="FrankRuehl" w:hint="cs"/>
          <w:rtl/>
        </w:rPr>
      </w:pPr>
      <w:bookmarkStart w:id="30" w:name="Seif29"/>
      <w:bookmarkEnd w:id="30"/>
      <w:r>
        <w:rPr>
          <w:lang w:val="he-IL"/>
        </w:rPr>
        <w:pict>
          <v:rect id="_x0000_s1109" style="position:absolute;left:0;text-align:left;margin-left:464.35pt;margin-top:7.1pt;width:75.05pt;height:10.2pt;z-index:251666944"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חריגה מהמועד</w:t>
                  </w:r>
                </w:p>
              </w:txbxContent>
            </v:textbox>
            <w10:anchorlock/>
          </v:rect>
        </w:pict>
      </w:r>
      <w:r>
        <w:rPr>
          <w:rStyle w:val="big-number"/>
          <w:rFonts w:hint="cs"/>
          <w:rtl/>
        </w:rPr>
        <w:t>29</w:t>
      </w:r>
      <w:r>
        <w:rPr>
          <w:rStyle w:val="default"/>
          <w:rFonts w:cs="FrankRuehl"/>
          <w:rtl/>
        </w:rPr>
        <w:t>.</w:t>
      </w:r>
      <w:r>
        <w:rPr>
          <w:rStyle w:val="default"/>
          <w:rFonts w:cs="FrankRuehl"/>
          <w:rtl/>
        </w:rPr>
        <w:tab/>
      </w:r>
      <w:r>
        <w:rPr>
          <w:rStyle w:val="default"/>
          <w:rFonts w:cs="FrankRuehl" w:hint="cs"/>
          <w:rtl/>
        </w:rPr>
        <w:t>הכרעת דין והחלטה על נקיטת אמצעי משמעת שניתנו שלא במועדים שנקבעו בתקנות אלה, לא ייפסלו בשל כך בלבד.</w:t>
      </w:r>
    </w:p>
    <w:p w:rsidR="00C73556" w:rsidRDefault="00C73556">
      <w:pPr>
        <w:pStyle w:val="P00"/>
        <w:spacing w:before="72"/>
        <w:ind w:left="0" w:right="1134"/>
        <w:rPr>
          <w:rStyle w:val="default"/>
          <w:rFonts w:cs="FrankRuehl" w:hint="cs"/>
          <w:rtl/>
        </w:rPr>
      </w:pPr>
      <w:bookmarkStart w:id="31" w:name="Seif30"/>
      <w:bookmarkEnd w:id="31"/>
      <w:r>
        <w:rPr>
          <w:lang w:val="he-IL"/>
        </w:rPr>
        <w:pict>
          <v:rect id="_x0000_s1110" style="position:absolute;left:0;text-align:left;margin-left:464.35pt;margin-top:7.1pt;width:75.05pt;height:10.2pt;z-index:251667968"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דיון בהעדר הנקבל</w:t>
                  </w:r>
                </w:p>
              </w:txbxContent>
            </v:textbox>
            <w10:anchorlock/>
          </v:rect>
        </w:pict>
      </w:r>
      <w:r>
        <w:rPr>
          <w:rStyle w:val="big-number"/>
          <w:rFonts w:hint="cs"/>
          <w:rtl/>
        </w:rPr>
        <w:t>30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הסתיימו ההליכים לפי תקנות אלה, רשאית ועדת משמעת, לבקשת נקבל, לבטל את הכרעת הדין וההחלטה על נקיטת אמצעי משמעת, שניתנו בעקבות דיון שהתקיים בהעדרו, אם ראתה שהיתה סיבה מוצדקת לאי-התייצבותו או אם ראתה שהדבר דרוש כדי למנוע עיוות דין; בקשה לפי תקנה זו תוגש בתוך שלושים ימים מהיום שהומצאה לנקבל ההחלטה על נקיטת אמצעי משמעת, ואולם רשאית ועדת משמעת, מטעמים מיוחדים שיירשמו, לדון בבקשה שהוגשה לאחר מועד זה.</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תקנה זו כדי לגרוע מסמכותה של ועדת משמעת לבטל דיון, שהתקיים בהעדר הנקבל, אף אם לא הסתיימו ההליכים לפי תקנות אלה, אם ראתה שהיתה סיבה מוצדקת לאי-התייצבותו או אם ראתה שהדבר דרוש כדי למנוע עיוות דין.</w:t>
      </w:r>
    </w:p>
    <w:p w:rsidR="00C73556" w:rsidRDefault="00C73556">
      <w:pPr>
        <w:pStyle w:val="medium2-header"/>
        <w:keepLines w:val="0"/>
        <w:spacing w:before="72"/>
        <w:ind w:left="0" w:right="1134"/>
        <w:rPr>
          <w:rFonts w:cs="FrankRuehl" w:hint="cs"/>
          <w:noProof/>
          <w:rtl/>
        </w:rPr>
      </w:pPr>
      <w:bookmarkStart w:id="32" w:name="med2"/>
      <w:bookmarkEnd w:id="32"/>
      <w:r>
        <w:rPr>
          <w:rFonts w:cs="FrankRuehl" w:hint="cs"/>
          <w:noProof/>
          <w:rtl/>
        </w:rPr>
        <w:t>פרק שלישי: התליה עד סיום דיון</w:t>
      </w:r>
    </w:p>
    <w:p w:rsidR="00C73556" w:rsidRDefault="00C73556">
      <w:pPr>
        <w:pStyle w:val="P00"/>
        <w:spacing w:before="72"/>
        <w:ind w:left="0" w:right="1134"/>
        <w:rPr>
          <w:rStyle w:val="default"/>
          <w:rFonts w:cs="FrankRuehl" w:hint="cs"/>
          <w:rtl/>
        </w:rPr>
      </w:pPr>
      <w:bookmarkStart w:id="33" w:name="Seif31"/>
      <w:bookmarkEnd w:id="33"/>
      <w:r>
        <w:rPr>
          <w:lang w:val="he-IL"/>
        </w:rPr>
        <w:pict>
          <v:rect id="_x0000_s1111" style="position:absolute;left:0;text-align:left;margin-left:464.35pt;margin-top:7.1pt;width:75.05pt;height:13.75pt;z-index:251668992"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צורת בקשה להתליה</w:t>
                  </w:r>
                </w:p>
              </w:txbxContent>
            </v:textbox>
            <w10:anchorlock/>
          </v:rect>
        </w:pict>
      </w:r>
      <w:r>
        <w:rPr>
          <w:rStyle w:val="big-number"/>
          <w:rFonts w:hint="cs"/>
          <w:rtl/>
        </w:rPr>
        <w:t>31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בקשה להתליה עד סיום דיון לפי סעיף 37(א) לחוק תכיל פרטים אלה:</w:t>
      </w:r>
    </w:p>
    <w:p w:rsidR="00C73556" w:rsidRDefault="00C735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התובע;</w:t>
      </w:r>
    </w:p>
    <w:p w:rsidR="00C73556" w:rsidRDefault="00C735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 שמאי המקרקעין שהבקשה מתייחסת אליו, מספר הזהות שלו, מספר רישומו בפנקס ומען מגוריו או מקום עבודתו.</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היתה עילת הבקשה הגשת קובלנה </w:t>
      </w:r>
      <w:r>
        <w:rPr>
          <w:rStyle w:val="default"/>
          <w:rFonts w:cs="FrankRuehl"/>
          <w:rtl/>
        </w:rPr>
        <w:t>–</w:t>
      </w:r>
      <w:r>
        <w:rPr>
          <w:rStyle w:val="default"/>
          <w:rFonts w:cs="FrankRuehl" w:hint="cs"/>
          <w:rtl/>
        </w:rPr>
        <w:t xml:space="preserve"> יצורף כתב הקובלנה; היתה עילת הבקשה הגשת כתב אישום כאמור בסעיף 37(א) לחוק </w:t>
      </w:r>
      <w:r>
        <w:rPr>
          <w:rStyle w:val="default"/>
          <w:rFonts w:cs="FrankRuehl"/>
          <w:rtl/>
        </w:rPr>
        <w:t>–</w:t>
      </w:r>
      <w:r>
        <w:rPr>
          <w:rStyle w:val="default"/>
          <w:rFonts w:cs="FrankRuehl" w:hint="cs"/>
          <w:rtl/>
        </w:rPr>
        <w:t xml:space="preserve"> יצורף לה כתב האישום.</w:t>
      </w:r>
    </w:p>
    <w:p w:rsidR="00C73556" w:rsidRDefault="00C73556">
      <w:pPr>
        <w:pStyle w:val="P00"/>
        <w:spacing w:before="72"/>
        <w:ind w:left="0" w:right="1134"/>
        <w:rPr>
          <w:rStyle w:val="default"/>
          <w:rFonts w:cs="FrankRuehl" w:hint="cs"/>
          <w:rtl/>
        </w:rPr>
      </w:pPr>
      <w:bookmarkStart w:id="34" w:name="Seif32"/>
      <w:bookmarkEnd w:id="34"/>
      <w:r>
        <w:rPr>
          <w:lang w:val="he-IL"/>
        </w:rPr>
        <w:pict>
          <v:rect id="_x0000_s1112" style="position:absolute;left:0;text-align:left;margin-left:464.35pt;margin-top:7.1pt;width:75.05pt;height:18.85pt;z-index:251670016"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סדרי דין בבקשה להתליה</w:t>
                  </w:r>
                </w:p>
              </w:txbxContent>
            </v:textbox>
            <w10:anchorlock/>
          </v:rect>
        </w:pict>
      </w:r>
      <w:r>
        <w:rPr>
          <w:rStyle w:val="big-number"/>
          <w:rFonts w:hint="cs"/>
          <w:rtl/>
        </w:rPr>
        <w:t>32</w:t>
      </w:r>
      <w:r>
        <w:rPr>
          <w:rStyle w:val="default"/>
          <w:rFonts w:cs="FrankRuehl"/>
          <w:rtl/>
        </w:rPr>
        <w:t>.</w:t>
      </w:r>
      <w:r>
        <w:rPr>
          <w:rStyle w:val="default"/>
          <w:rFonts w:cs="FrankRuehl"/>
          <w:rtl/>
        </w:rPr>
        <w:tab/>
      </w:r>
      <w:r>
        <w:rPr>
          <w:rStyle w:val="default"/>
          <w:rFonts w:cs="FrankRuehl" w:hint="cs"/>
          <w:rtl/>
        </w:rPr>
        <w:t>על הדיון בבקשה להתליה עד סיום דיון יחולו הוראות תקנות 14, 17, 18, 27 ו-29 לפי הענין.</w:t>
      </w:r>
    </w:p>
    <w:p w:rsidR="00C73556" w:rsidRDefault="00C73556">
      <w:pPr>
        <w:pStyle w:val="P00"/>
        <w:spacing w:before="72"/>
        <w:ind w:left="0" w:right="1134"/>
        <w:rPr>
          <w:rStyle w:val="default"/>
          <w:rFonts w:cs="FrankRuehl" w:hint="cs"/>
          <w:rtl/>
        </w:rPr>
      </w:pPr>
      <w:bookmarkStart w:id="35" w:name="Seif33"/>
      <w:bookmarkEnd w:id="35"/>
      <w:r>
        <w:rPr>
          <w:lang w:val="he-IL"/>
        </w:rPr>
        <w:pict>
          <v:rect id="_x0000_s1113" style="position:absolute;left:0;text-align:left;margin-left:464.35pt;margin-top:7.1pt;width:75.05pt;height:10.2pt;z-index:251671040"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ראיות בעלי הדין</w:t>
                  </w:r>
                </w:p>
              </w:txbxContent>
            </v:textbox>
            <w10:anchorlock/>
          </v:rect>
        </w:pict>
      </w:r>
      <w:r>
        <w:rPr>
          <w:rStyle w:val="big-number"/>
          <w:rFonts w:hint="cs"/>
          <w:rtl/>
        </w:rPr>
        <w:t>33</w:t>
      </w:r>
      <w:r>
        <w:rPr>
          <w:rStyle w:val="default"/>
          <w:rFonts w:cs="FrankRuehl"/>
          <w:rtl/>
        </w:rPr>
        <w:t>.</w:t>
      </w:r>
      <w:r>
        <w:rPr>
          <w:rStyle w:val="default"/>
          <w:rFonts w:cs="FrankRuehl"/>
          <w:rtl/>
        </w:rPr>
        <w:tab/>
      </w:r>
      <w:r>
        <w:rPr>
          <w:rStyle w:val="default"/>
          <w:rFonts w:cs="FrankRuehl" w:hint="cs"/>
          <w:rtl/>
        </w:rPr>
        <w:t>אם ראתה ועדת המשמעת צורך בכך, תיתן לבעלי הדין רשות הביא את ראיותיהם; סדר הבאתן יהיה בהתאם לאמור בתקנה 20.</w:t>
      </w:r>
    </w:p>
    <w:p w:rsidR="00C73556" w:rsidRDefault="00C73556">
      <w:pPr>
        <w:pStyle w:val="medium2-header"/>
        <w:keepLines w:val="0"/>
        <w:spacing w:before="72"/>
        <w:ind w:left="0" w:right="1134"/>
        <w:rPr>
          <w:rFonts w:cs="FrankRuehl" w:hint="cs"/>
          <w:noProof/>
          <w:rtl/>
        </w:rPr>
      </w:pPr>
      <w:bookmarkStart w:id="36" w:name="med3"/>
      <w:bookmarkEnd w:id="36"/>
      <w:r>
        <w:rPr>
          <w:rFonts w:cs="FrankRuehl" w:hint="cs"/>
          <w:noProof/>
          <w:rtl/>
        </w:rPr>
        <w:t>פרק רביעי: הוראות שונות</w:t>
      </w:r>
    </w:p>
    <w:p w:rsidR="00C73556" w:rsidRDefault="00C73556">
      <w:pPr>
        <w:pStyle w:val="P00"/>
        <w:spacing w:before="72"/>
        <w:ind w:left="0" w:right="1134"/>
        <w:rPr>
          <w:rStyle w:val="default"/>
          <w:rFonts w:cs="FrankRuehl" w:hint="cs"/>
          <w:rtl/>
        </w:rPr>
      </w:pPr>
      <w:bookmarkStart w:id="37" w:name="Seif34"/>
      <w:bookmarkEnd w:id="37"/>
      <w:r>
        <w:rPr>
          <w:lang w:val="he-IL"/>
        </w:rPr>
        <w:pict>
          <v:rect id="_x0000_s1114" style="position:absolute;left:0;text-align:left;margin-left:464.35pt;margin-top:7.1pt;width:75.05pt;height:10.2pt;z-index:251672064"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ערעור</w:t>
                  </w:r>
                </w:p>
              </w:txbxContent>
            </v:textbox>
            <w10:anchorlock/>
          </v:rect>
        </w:pict>
      </w:r>
      <w:r>
        <w:rPr>
          <w:rStyle w:val="big-number"/>
          <w:rFonts w:hint="cs"/>
          <w:rtl/>
        </w:rPr>
        <w:t>34</w:t>
      </w:r>
      <w:r>
        <w:rPr>
          <w:rStyle w:val="default"/>
          <w:rFonts w:cs="FrankRuehl"/>
          <w:rtl/>
        </w:rPr>
        <w:t>.</w:t>
      </w:r>
      <w:r>
        <w:rPr>
          <w:rStyle w:val="default"/>
          <w:rFonts w:cs="FrankRuehl"/>
          <w:rtl/>
        </w:rPr>
        <w:tab/>
      </w:r>
      <w:r>
        <w:rPr>
          <w:rStyle w:val="default"/>
          <w:rFonts w:cs="FrankRuehl" w:hint="cs"/>
          <w:rtl/>
        </w:rPr>
        <w:t>ערעור לפי סעיף 36 לחוק יוגש לבית המשפט המחוזי בירושלים.</w:t>
      </w:r>
    </w:p>
    <w:p w:rsidR="00C73556" w:rsidRDefault="00C73556">
      <w:pPr>
        <w:pStyle w:val="P00"/>
        <w:spacing w:before="72"/>
        <w:ind w:left="0" w:right="1134"/>
        <w:rPr>
          <w:rStyle w:val="default"/>
          <w:rFonts w:cs="FrankRuehl" w:hint="cs"/>
          <w:rtl/>
        </w:rPr>
      </w:pPr>
      <w:bookmarkStart w:id="38" w:name="Seif35"/>
      <w:bookmarkEnd w:id="38"/>
      <w:r>
        <w:rPr>
          <w:lang w:val="he-IL"/>
        </w:rPr>
        <w:pict>
          <v:rect id="_x0000_s1115" style="position:absolute;left:0;text-align:left;margin-left:464.35pt;margin-top:7.1pt;width:75.05pt;height:10.2pt;z-index:251673088"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המצאת מסמכים</w:t>
                  </w:r>
                </w:p>
              </w:txbxContent>
            </v:textbox>
            <w10:anchorlock/>
          </v:rect>
        </w:pict>
      </w:r>
      <w:r>
        <w:rPr>
          <w:rStyle w:val="big-number"/>
          <w:rFonts w:hint="cs"/>
          <w:rtl/>
        </w:rPr>
        <w:t>35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מסמך שיש להמציאו לאדם לפי תקנות אלה, תהיה המצאתו במסירה לידיו או במשלוח מכתב בדואר רשום עם אישור מסירה, לפי מען מגוריו או מקום עבודתו, ובאין למצאו במקום כאמור </w:t>
      </w:r>
      <w:r>
        <w:rPr>
          <w:rStyle w:val="default"/>
          <w:rFonts w:cs="FrankRuehl"/>
          <w:rtl/>
        </w:rPr>
        <w:t>–</w:t>
      </w:r>
      <w:r>
        <w:rPr>
          <w:rStyle w:val="default"/>
          <w:rFonts w:cs="FrankRuehl" w:hint="cs"/>
          <w:rtl/>
        </w:rPr>
        <w:t xml:space="preserve"> לידי בן משפחתו הגר עמו ונראה שמלאו לו שמונה עשרה שנים.</w:t>
      </w:r>
    </w:p>
    <w:p w:rsidR="00C73556" w:rsidRDefault="00C735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היתה ההמצאה במכתב רשום כאמור בתקנת משנה (א), יראו את התאריך שבאישור המסירה כתאריך ההמצאה.</w:t>
      </w:r>
    </w:p>
    <w:p w:rsidR="00C73556" w:rsidRDefault="00C735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מסירת מסמך לידי בא כוחו של הנקבל או מסירתו לידי פקיד במשרדו או משלוח מכתב רשום עם אישור מסירה לפי מען משרדו, יראו כהמצאה לנקבל, זולת אם הודיע בא כוחו או פקידו של הנקבל לוועדת משמעת, בתוך חמישה ימים מקבלת המסמך, כי אין ביכולתו להביא את המסמך לידיעת הנקבל.</w:t>
      </w:r>
    </w:p>
    <w:p w:rsidR="00C73556" w:rsidRDefault="00C73556">
      <w:pPr>
        <w:pStyle w:val="P00"/>
        <w:spacing w:before="72"/>
        <w:ind w:left="0" w:right="1134"/>
        <w:rPr>
          <w:rStyle w:val="default"/>
          <w:rFonts w:cs="FrankRuehl" w:hint="cs"/>
          <w:rtl/>
        </w:rPr>
      </w:pPr>
      <w:bookmarkStart w:id="39" w:name="Seif36"/>
      <w:bookmarkEnd w:id="39"/>
      <w:r>
        <w:rPr>
          <w:lang w:val="he-IL"/>
        </w:rPr>
        <w:pict>
          <v:rect id="_x0000_s1116" style="position:absolute;left:0;text-align:left;margin-left:464.35pt;margin-top:7.1pt;width:75.05pt;height:10.2pt;z-index:251674112"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תחליף המצאה</w:t>
                  </w:r>
                </w:p>
              </w:txbxContent>
            </v:textbox>
            <w10:anchorlock/>
          </v:rect>
        </w:pict>
      </w:r>
      <w:r>
        <w:rPr>
          <w:rStyle w:val="big-number"/>
          <w:rFonts w:hint="cs"/>
          <w:rtl/>
        </w:rPr>
        <w:t>36</w:t>
      </w:r>
      <w:r>
        <w:rPr>
          <w:rStyle w:val="default"/>
          <w:rFonts w:cs="FrankRuehl"/>
          <w:rtl/>
        </w:rPr>
        <w:t>.</w:t>
      </w:r>
      <w:r>
        <w:rPr>
          <w:rStyle w:val="default"/>
          <w:rFonts w:cs="FrankRuehl"/>
          <w:rtl/>
        </w:rPr>
        <w:tab/>
      </w:r>
      <w:r>
        <w:rPr>
          <w:rStyle w:val="default"/>
          <w:rFonts w:cs="FrankRuehl" w:hint="cs"/>
          <w:rtl/>
        </w:rPr>
        <w:t>לא בוצעה המצאת מסמך עקב סירוב לקבל את המסמך או לחתום על אישור מסירה, יראו את המסמך כאילו הומצא כדין, אם הומצא לפי הוראות ועדת המשמעת באחת מדרכים אלה:</w:t>
      </w:r>
    </w:p>
    <w:p w:rsidR="00C73556" w:rsidRDefault="00C7355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בהדבקת עותק המסמך על דלת הבית שבו רגיל האדם לגור או לעבוד;</w:t>
      </w:r>
    </w:p>
    <w:p w:rsidR="00C73556" w:rsidRDefault="00C7355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בפרסום מודעה בעיתון יומי;</w:t>
      </w:r>
    </w:p>
    <w:p w:rsidR="00C73556" w:rsidRDefault="00C7355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בכל דרך סבירה אחרת שתיראה לה.</w:t>
      </w:r>
    </w:p>
    <w:p w:rsidR="00C73556" w:rsidRDefault="00C73556">
      <w:pPr>
        <w:pStyle w:val="P00"/>
        <w:spacing w:before="72"/>
        <w:ind w:left="0" w:right="1134"/>
        <w:rPr>
          <w:rStyle w:val="default"/>
          <w:rFonts w:cs="FrankRuehl" w:hint="cs"/>
          <w:rtl/>
        </w:rPr>
      </w:pPr>
      <w:bookmarkStart w:id="40" w:name="Seif37"/>
      <w:bookmarkEnd w:id="40"/>
      <w:r>
        <w:rPr>
          <w:lang w:val="he-IL"/>
        </w:rPr>
        <w:pict>
          <v:rect id="_x0000_s1117" style="position:absolute;left:0;text-align:left;margin-left:464.35pt;margin-top:7.1pt;width:75.05pt;height:17.25pt;z-index:251675136"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פגמים שאינם פןגמים בדיון</w:t>
                  </w:r>
                </w:p>
              </w:txbxContent>
            </v:textbox>
            <w10:anchorlock/>
          </v:rect>
        </w:pict>
      </w:r>
      <w:r>
        <w:rPr>
          <w:rStyle w:val="big-number"/>
          <w:rFonts w:hint="cs"/>
          <w:rtl/>
        </w:rPr>
        <w:t>37</w:t>
      </w:r>
      <w:r>
        <w:rPr>
          <w:rStyle w:val="default"/>
          <w:rFonts w:cs="FrankRuehl"/>
          <w:rtl/>
        </w:rPr>
        <w:t>.</w:t>
      </w:r>
      <w:r>
        <w:rPr>
          <w:rStyle w:val="default"/>
          <w:rFonts w:cs="FrankRuehl"/>
          <w:rtl/>
        </w:rPr>
        <w:tab/>
      </w:r>
      <w:r>
        <w:rPr>
          <w:rStyle w:val="default"/>
          <w:rFonts w:cs="FrankRuehl" w:hint="cs"/>
          <w:rtl/>
        </w:rPr>
        <w:t>ליקוי טכני בעריכתו של מסמך לפי תקנות אלה אין בו כדי לפגום בתוקפם של ההליכים על פיו; אולם אם נראה לוועדת משמעת, כי יש בדבר חשש לעיוות דינו של הנקבל, תורה כל הוראה הדרושה כדי להסיר את החשש.</w:t>
      </w:r>
    </w:p>
    <w:p w:rsidR="00C73556" w:rsidRDefault="00C73556">
      <w:pPr>
        <w:pStyle w:val="P00"/>
        <w:spacing w:before="72"/>
        <w:ind w:left="0" w:right="1134"/>
        <w:rPr>
          <w:rStyle w:val="default"/>
          <w:rFonts w:cs="FrankRuehl" w:hint="cs"/>
          <w:rtl/>
        </w:rPr>
      </w:pPr>
      <w:r>
        <w:rPr>
          <w:lang w:val="he-IL"/>
        </w:rPr>
        <w:pict>
          <v:rect id="_x0000_s1118" style="position:absolute;left:0;text-align:left;margin-left:464.35pt;margin-top:7.1pt;width:75.05pt;height:16.1pt;z-index:251676160"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תיקון תקנות התשכ"ג</w:t>
                  </w:r>
                </w:p>
              </w:txbxContent>
            </v:textbox>
            <w10:anchorlock/>
          </v:rect>
        </w:pict>
      </w:r>
      <w:r>
        <w:rPr>
          <w:rStyle w:val="big-number"/>
          <w:rFonts w:hint="cs"/>
          <w:rtl/>
        </w:rPr>
        <w:t>38</w:t>
      </w:r>
      <w:r>
        <w:rPr>
          <w:rStyle w:val="default"/>
          <w:rFonts w:cs="FrankRuehl"/>
          <w:rtl/>
        </w:rPr>
        <w:t>.</w:t>
      </w:r>
      <w:r>
        <w:rPr>
          <w:rStyle w:val="default"/>
          <w:rFonts w:cs="FrankRuehl"/>
          <w:rtl/>
        </w:rPr>
        <w:tab/>
      </w:r>
      <w:r>
        <w:rPr>
          <w:rStyle w:val="default"/>
          <w:rFonts w:cs="FrankRuehl" w:hint="cs"/>
          <w:rtl/>
        </w:rPr>
        <w:t xml:space="preserve">הפרק החמישי בתקנות שמאי מקרקעין, התשכ"ג-1963 </w:t>
      </w:r>
      <w:r>
        <w:rPr>
          <w:rStyle w:val="default"/>
          <w:rFonts w:cs="FrankRuehl"/>
          <w:rtl/>
        </w:rPr>
        <w:t>–</w:t>
      </w:r>
      <w:r>
        <w:rPr>
          <w:rStyle w:val="default"/>
          <w:rFonts w:cs="FrankRuehl" w:hint="cs"/>
          <w:rtl/>
        </w:rPr>
        <w:t xml:space="preserve"> בטל.</w:t>
      </w:r>
    </w:p>
    <w:p w:rsidR="00C73556" w:rsidRDefault="00C73556">
      <w:pPr>
        <w:pStyle w:val="P00"/>
        <w:spacing w:before="72"/>
        <w:ind w:left="0" w:right="1134"/>
        <w:rPr>
          <w:rStyle w:val="default"/>
          <w:rFonts w:cs="FrankRuehl" w:hint="cs"/>
          <w:rtl/>
        </w:rPr>
      </w:pPr>
      <w:bookmarkStart w:id="41" w:name="Seif38"/>
      <w:bookmarkEnd w:id="41"/>
      <w:r>
        <w:rPr>
          <w:lang w:val="he-IL"/>
        </w:rPr>
        <w:pict>
          <v:rect id="_x0000_s1119" style="position:absolute;left:0;text-align:left;margin-left:464.35pt;margin-top:7.1pt;width:75.05pt;height:10.2pt;z-index:251677184" o:allowincell="f" filled="f" stroked="f" strokecolor="lime" strokeweight=".25pt">
            <v:textbox inset="1mm,0,1mm,0">
              <w:txbxContent>
                <w:p w:rsidR="00C73556" w:rsidRDefault="00C73556">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39</w:t>
      </w:r>
      <w:r>
        <w:rPr>
          <w:rStyle w:val="default"/>
          <w:rFonts w:cs="FrankRuehl"/>
          <w:rtl/>
        </w:rPr>
        <w:t>.</w:t>
      </w:r>
      <w:r>
        <w:rPr>
          <w:rStyle w:val="default"/>
          <w:rFonts w:cs="FrankRuehl"/>
          <w:rtl/>
        </w:rPr>
        <w:tab/>
      </w:r>
      <w:r>
        <w:rPr>
          <w:rStyle w:val="default"/>
          <w:rFonts w:cs="FrankRuehl" w:hint="cs"/>
          <w:rtl/>
        </w:rPr>
        <w:t>תחילתן של תקנות אלה 30 ימים מיום פרסומן.</w:t>
      </w:r>
    </w:p>
    <w:p w:rsidR="00C73556" w:rsidRDefault="00C73556">
      <w:pPr>
        <w:pStyle w:val="P00"/>
        <w:spacing w:before="72"/>
        <w:ind w:left="0" w:right="1134"/>
        <w:rPr>
          <w:rStyle w:val="default"/>
          <w:rFonts w:cs="FrankRuehl" w:hint="cs"/>
          <w:rtl/>
        </w:rPr>
      </w:pPr>
    </w:p>
    <w:p w:rsidR="0094726C" w:rsidRDefault="0094726C">
      <w:pPr>
        <w:pStyle w:val="P00"/>
        <w:spacing w:before="72"/>
        <w:ind w:left="0" w:right="1134"/>
        <w:rPr>
          <w:rStyle w:val="default"/>
          <w:rFonts w:cs="FrankRuehl" w:hint="cs"/>
          <w:rtl/>
        </w:rPr>
      </w:pPr>
    </w:p>
    <w:p w:rsidR="0094726C" w:rsidRDefault="0094726C" w:rsidP="0094726C">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כ"ז בשבט התשס"ה (6 בפברואר 2005)</w:t>
      </w:r>
      <w:r>
        <w:rPr>
          <w:rStyle w:val="default"/>
          <w:rFonts w:cs="FrankRuehl" w:hint="cs"/>
          <w:rtl/>
        </w:rPr>
        <w:tab/>
        <w:t>ציפי לבני</w:t>
      </w:r>
    </w:p>
    <w:p w:rsidR="0094726C" w:rsidRDefault="0094726C" w:rsidP="0094726C">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Pr>
          <w:rStyle w:val="default"/>
          <w:rFonts w:cs="FrankRuehl" w:hint="cs"/>
          <w:sz w:val="22"/>
          <w:szCs w:val="22"/>
          <w:rtl/>
        </w:rPr>
        <w:tab/>
        <w:t>שרת המשפטים</w:t>
      </w:r>
    </w:p>
    <w:p w:rsidR="00C73556" w:rsidRDefault="00C73556">
      <w:pPr>
        <w:pStyle w:val="P00"/>
        <w:spacing w:before="72"/>
        <w:ind w:left="0" w:right="1134"/>
        <w:rPr>
          <w:rStyle w:val="default"/>
          <w:rFonts w:cs="FrankRuehl" w:hint="cs"/>
          <w:rtl/>
        </w:rPr>
      </w:pPr>
    </w:p>
    <w:p w:rsidR="0094726C" w:rsidRDefault="0094726C">
      <w:pPr>
        <w:pStyle w:val="P00"/>
        <w:spacing w:before="72"/>
        <w:ind w:left="0" w:right="1134"/>
        <w:rPr>
          <w:rStyle w:val="default"/>
          <w:rFonts w:cs="FrankRuehl" w:hint="cs"/>
          <w:rtl/>
        </w:rPr>
      </w:pPr>
    </w:p>
    <w:p w:rsidR="00C73556" w:rsidRDefault="00C73556" w:rsidP="0094726C">
      <w:pPr>
        <w:pStyle w:val="P00"/>
        <w:spacing w:before="72"/>
        <w:ind w:left="0" w:right="1134"/>
        <w:rPr>
          <w:rStyle w:val="default"/>
          <w:rFonts w:cs="FrankRuehl" w:hint="cs"/>
          <w:rtl/>
        </w:rPr>
      </w:pPr>
      <w:bookmarkStart w:id="42" w:name="LawPartEnd"/>
      <w:bookmarkEnd w:id="42"/>
    </w:p>
    <w:p w:rsidR="004A3D29" w:rsidRDefault="004A3D29" w:rsidP="0094726C">
      <w:pPr>
        <w:pStyle w:val="P00"/>
        <w:spacing w:before="72"/>
        <w:ind w:left="0" w:right="1134"/>
        <w:rPr>
          <w:rStyle w:val="default"/>
          <w:rFonts w:cs="FrankRuehl"/>
          <w:rtl/>
        </w:rPr>
      </w:pPr>
    </w:p>
    <w:p w:rsidR="004A3D29" w:rsidRDefault="004A3D29" w:rsidP="0094726C">
      <w:pPr>
        <w:pStyle w:val="P00"/>
        <w:spacing w:before="72"/>
        <w:ind w:left="0" w:right="1134"/>
        <w:rPr>
          <w:rStyle w:val="default"/>
          <w:rFonts w:cs="FrankRuehl"/>
          <w:rtl/>
        </w:rPr>
      </w:pPr>
    </w:p>
    <w:p w:rsidR="004A3D29" w:rsidRDefault="004A3D29" w:rsidP="004A3D29">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94726C" w:rsidRPr="004A3D29" w:rsidRDefault="0094726C" w:rsidP="004A3D29">
      <w:pPr>
        <w:pStyle w:val="P00"/>
        <w:spacing w:before="72"/>
        <w:ind w:left="0" w:right="1134"/>
        <w:jc w:val="center"/>
        <w:rPr>
          <w:rStyle w:val="default"/>
          <w:rFonts w:cs="David" w:hint="cs"/>
          <w:color w:val="0000FF"/>
          <w:szCs w:val="24"/>
          <w:u w:val="single"/>
          <w:rtl/>
        </w:rPr>
      </w:pPr>
    </w:p>
    <w:sectPr w:rsidR="0094726C" w:rsidRPr="004A3D2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3A9D" w:rsidRDefault="00773A9D">
      <w:r>
        <w:separator/>
      </w:r>
    </w:p>
  </w:endnote>
  <w:endnote w:type="continuationSeparator" w:id="0">
    <w:p w:rsidR="00773A9D" w:rsidRDefault="00773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3556" w:rsidRDefault="00C7355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73556" w:rsidRDefault="00C7355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73556" w:rsidRDefault="00C7355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3D29">
      <w:rPr>
        <w:rFonts w:cs="TopType Jerushalmi"/>
        <w:noProof/>
        <w:color w:val="000000"/>
        <w:sz w:val="14"/>
        <w:szCs w:val="14"/>
      </w:rPr>
      <w:t>Z:\00000000000000000000000=2014------------------------\05-May\2014-05-28\LawsForHofit\02\999_399.doc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3556" w:rsidRDefault="00C7355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A3D29">
      <w:rPr>
        <w:rFonts w:hAnsi="FrankRuehl" w:cs="FrankRuehl"/>
        <w:noProof/>
        <w:sz w:val="24"/>
        <w:szCs w:val="24"/>
        <w:rtl/>
      </w:rPr>
      <w:t>7</w:t>
    </w:r>
    <w:r>
      <w:rPr>
        <w:rFonts w:hAnsi="FrankRuehl" w:cs="FrankRuehl"/>
        <w:sz w:val="24"/>
        <w:szCs w:val="24"/>
        <w:rtl/>
      </w:rPr>
      <w:fldChar w:fldCharType="end"/>
    </w:r>
  </w:p>
  <w:p w:rsidR="00C73556" w:rsidRDefault="00C7355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73556" w:rsidRDefault="00C7355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A3D29">
      <w:rPr>
        <w:rFonts w:cs="TopType Jerushalmi"/>
        <w:noProof/>
        <w:color w:val="000000"/>
        <w:sz w:val="14"/>
        <w:szCs w:val="14"/>
      </w:rPr>
      <w:t>Z:\00000000000000000000000=2014------------------------\05-May\2014-05-28\LawsForHofit\02\999_399.doc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3A9D" w:rsidRDefault="00773A9D" w:rsidP="0094726C">
      <w:pPr>
        <w:spacing w:before="60" w:line="240" w:lineRule="auto"/>
        <w:ind w:right="1134"/>
      </w:pPr>
      <w:r>
        <w:separator/>
      </w:r>
    </w:p>
  </w:footnote>
  <w:footnote w:type="continuationSeparator" w:id="0">
    <w:p w:rsidR="00773A9D" w:rsidRDefault="00773A9D">
      <w:r>
        <w:continuationSeparator/>
      </w:r>
    </w:p>
  </w:footnote>
  <w:footnote w:id="1">
    <w:p w:rsidR="00C73556" w:rsidRDefault="00C7355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תשס"ה מס' 6373</w:t>
        </w:r>
      </w:hyperlink>
      <w:r>
        <w:rPr>
          <w:rFonts w:hint="cs"/>
          <w:sz w:val="20"/>
          <w:rtl/>
        </w:rPr>
        <w:t xml:space="preserve"> מיום 27.2.2005 עמ' 458.</w:t>
      </w:r>
    </w:p>
    <w:p w:rsidR="00C73556" w:rsidRDefault="00C73556" w:rsidP="0094726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Pr>
            <w:rStyle w:val="Hyperlink"/>
            <w:rFonts w:hint="cs"/>
            <w:sz w:val="20"/>
            <w:rtl/>
          </w:rPr>
          <w:t>ק"ת תשס"ה מס' 6377</w:t>
        </w:r>
      </w:hyperlink>
      <w:r>
        <w:rPr>
          <w:rFonts w:hint="cs"/>
          <w:sz w:val="20"/>
          <w:rtl/>
        </w:rPr>
        <w:t xml:space="preserve"> מיום 17.3.2005 עמ' 576.</w:t>
      </w:r>
    </w:p>
    <w:p w:rsidR="00C73556" w:rsidRDefault="00C73556">
      <w:pPr>
        <w:pStyle w:val="footnote"/>
        <w:tabs>
          <w:tab w:val="left" w:pos="624"/>
          <w:tab w:val="left" w:pos="1021"/>
          <w:tab w:val="left" w:pos="1474"/>
          <w:tab w:val="left" w:pos="1928"/>
          <w:tab w:val="left" w:pos="2381"/>
          <w:tab w:val="left" w:pos="2835"/>
          <w:tab w:val="right" w:leader="dot" w:pos="6259"/>
        </w:tabs>
        <w:bidi w:val="0"/>
        <w:spacing w:before="72"/>
        <w:ind w:left="0" w:right="1134"/>
        <w:rPr>
          <w:rFonts w:hint="cs"/>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3556" w:rsidRDefault="00C7355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C73556" w:rsidRDefault="00C7355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73556" w:rsidRDefault="00C7355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3556" w:rsidRDefault="00C73556" w:rsidP="0094726C">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שמאי מקרקעין (סדרי דין בדיון לפני ועדת משמעת)</w:t>
    </w:r>
    <w:r>
      <w:rPr>
        <w:rFonts w:hAnsi="FrankRuehl" w:cs="FrankRuehl"/>
        <w:color w:val="000000"/>
        <w:sz w:val="28"/>
        <w:szCs w:val="28"/>
        <w:rtl/>
      </w:rPr>
      <w:t>, 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rsidR="00C73556" w:rsidRDefault="00C7355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73556" w:rsidRDefault="00C7355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022C"/>
    <w:rsid w:val="00013A67"/>
    <w:rsid w:val="000A6DE3"/>
    <w:rsid w:val="000A79BA"/>
    <w:rsid w:val="004A3D29"/>
    <w:rsid w:val="00647873"/>
    <w:rsid w:val="00773A9D"/>
    <w:rsid w:val="00931DAC"/>
    <w:rsid w:val="0094726C"/>
    <w:rsid w:val="00B35CE0"/>
    <w:rsid w:val="00B8022C"/>
    <w:rsid w:val="00B867A4"/>
    <w:rsid w:val="00BB010D"/>
    <w:rsid w:val="00C73556"/>
    <w:rsid w:val="00CB1FB2"/>
    <w:rsid w:val="00DA5C2F"/>
    <w:rsid w:val="00E853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8A4B246-915C-4F9F-A512-0A6EC921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customStyle="1" w:styleId="header-2">
    <w:name w:val="header-2"/>
    <w:basedOn w:val="P00"/>
    <w:pPr>
      <w:keepNext/>
      <w:keepLines/>
      <w:tabs>
        <w:tab w:val="clear" w:pos="6259"/>
      </w:tabs>
      <w:spacing w:before="240"/>
      <w:jc w:val="center"/>
    </w:pPr>
    <w:rPr>
      <w:rFonts w:cs="Times New Roman"/>
      <w:szCs w:val="20"/>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377.pdf" TargetMode="External"/><Relationship Id="rId1" Type="http://schemas.openxmlformats.org/officeDocument/2006/relationships/hyperlink" Target="http://www.nevo.co.il/Law_word/law06/tak-63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13610</CharactersWithSpaces>
  <SharedDoc>false</SharedDoc>
  <HLinks>
    <vt:vector size="270" baseType="variant">
      <vt:variant>
        <vt:i4>393283</vt:i4>
      </vt:variant>
      <vt:variant>
        <vt:i4>252</vt:i4>
      </vt:variant>
      <vt:variant>
        <vt:i4>0</vt:i4>
      </vt:variant>
      <vt:variant>
        <vt:i4>5</vt:i4>
      </vt:variant>
      <vt:variant>
        <vt:lpwstr>http://www.nevo.co.il/advertisements/nevo-100.doc</vt:lpwstr>
      </vt:variant>
      <vt:variant>
        <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5636105</vt:i4>
      </vt:variant>
      <vt:variant>
        <vt:i4>216</vt:i4>
      </vt:variant>
      <vt:variant>
        <vt:i4>0</vt:i4>
      </vt:variant>
      <vt:variant>
        <vt:i4>5</vt:i4>
      </vt:variant>
      <vt:variant>
        <vt:lpwstr/>
      </vt:variant>
      <vt:variant>
        <vt:lpwstr>med3</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5701641</vt:i4>
      </vt:variant>
      <vt:variant>
        <vt:i4>192</vt:i4>
      </vt:variant>
      <vt:variant>
        <vt:i4>0</vt:i4>
      </vt:variant>
      <vt:variant>
        <vt:i4>5</vt:i4>
      </vt:variant>
      <vt:variant>
        <vt:lpwstr/>
      </vt:variant>
      <vt:variant>
        <vt:lpwstr>med2</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5505033</vt:i4>
      </vt:variant>
      <vt:variant>
        <vt:i4>102</vt:i4>
      </vt:variant>
      <vt:variant>
        <vt:i4>0</vt:i4>
      </vt:variant>
      <vt:variant>
        <vt:i4>5</vt:i4>
      </vt:variant>
      <vt:variant>
        <vt:lpwstr/>
      </vt:variant>
      <vt:variant>
        <vt:lpwstr>med1</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7864332</vt:i4>
      </vt:variant>
      <vt:variant>
        <vt:i4>3</vt:i4>
      </vt:variant>
      <vt:variant>
        <vt:i4>0</vt:i4>
      </vt:variant>
      <vt:variant>
        <vt:i4>5</vt:i4>
      </vt:variant>
      <vt:variant>
        <vt:lpwstr>http://www.nevo.co.il/Law_word/law06/tak-6377.pdf</vt:lpwstr>
      </vt:variant>
      <vt:variant>
        <vt:lpwstr/>
      </vt:variant>
      <vt:variant>
        <vt:i4>7864328</vt:i4>
      </vt:variant>
      <vt:variant>
        <vt:i4>0</vt:i4>
      </vt:variant>
      <vt:variant>
        <vt:i4>0</vt:i4>
      </vt:variant>
      <vt:variant>
        <vt:i4>5</vt:i4>
      </vt:variant>
      <vt:variant>
        <vt:lpwstr>http://www.nevo.co.il/Law_word/law06/tak-6373.pdf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שמאות מקרקעין</vt:lpwstr>
  </property>
  <property fmtid="{D5CDD505-2E9C-101B-9397-08002B2CF9AE}" pid="4" name="LAWNAME">
    <vt:lpwstr>תקנות שמאי מקרקעין (סדרי דין בדיון לפני ועדת משמעת), תשס"ה-2005</vt:lpwstr>
  </property>
  <property fmtid="{D5CDD505-2E9C-101B-9397-08002B2CF9AE}" pid="5" name="LAWNUMBER">
    <vt:lpwstr>0399</vt:lpwstr>
  </property>
  <property fmtid="{D5CDD505-2E9C-101B-9397-08002B2CF9AE}" pid="6" name="TYPE">
    <vt:lpwstr>01</vt:lpwstr>
  </property>
  <property fmtid="{D5CDD505-2E9C-101B-9397-08002B2CF9AE}" pid="7" name="LINKK1">
    <vt:lpwstr>http://www.nevo.co.il/Law_word/law06/tak-6377.pdf;רשומות – תקנות כלליות#ת"ט ק"ת תשס"ה מס' 6377#מיום 17.3.2005#עמ' 576</vt:lpwstr>
  </property>
  <property fmtid="{D5CDD505-2E9C-101B-9397-08002B2CF9AE}" pid="8" name="LINKK2">
    <vt:lpwstr>http://www.nevo.co.il/Law_word/law06/tak-6373.pdf;רשומות – תקנות כלליות#פורסמו ק"ת תשס"ה מס' 6373#מיום 27.2.2005#עמ' 458</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שמאי מקרקעין</vt:lpwstr>
  </property>
  <property fmtid="{D5CDD505-2E9C-101B-9397-08002B2CF9AE}" pid="23" name="MEKOR_SAIF1">
    <vt:lpwstr>30X;43X</vt:lpwstr>
  </property>
  <property fmtid="{D5CDD505-2E9C-101B-9397-08002B2CF9AE}" pid="24" name="MEKOR_NAME2">
    <vt:lpwstr>חוק בתי המשפט [נוסח משולב]</vt:lpwstr>
  </property>
  <property fmtid="{D5CDD505-2E9C-101B-9397-08002B2CF9AE}" pid="25" name="MEKOR_SAIF2">
    <vt:lpwstr>108X</vt:lpwstr>
  </property>
  <property fmtid="{D5CDD505-2E9C-101B-9397-08002B2CF9AE}" pid="26" name="NOSE11">
    <vt:lpwstr>משפט פרטי וכלכלה</vt:lpwstr>
  </property>
  <property fmtid="{D5CDD505-2E9C-101B-9397-08002B2CF9AE}" pid="27" name="NOSE21">
    <vt:lpwstr>הסדרת עיסוק</vt:lpwstr>
  </property>
  <property fmtid="{D5CDD505-2E9C-101B-9397-08002B2CF9AE}" pid="28" name="NOSE31">
    <vt:lpwstr>שמאי מקרקעין</vt:lpwstr>
  </property>
  <property fmtid="{D5CDD505-2E9C-101B-9397-08002B2CF9AE}" pid="29" name="NOSE41">
    <vt:lpwstr/>
  </property>
  <property fmtid="{D5CDD505-2E9C-101B-9397-08002B2CF9AE}" pid="30" name="NOSE12">
    <vt:lpwstr>רשויות ומשפט מנהלי</vt:lpwstr>
  </property>
  <property fmtid="{D5CDD505-2E9C-101B-9397-08002B2CF9AE}" pid="31" name="NOSE22">
    <vt:lpwstr>הסדרת עיסוק</vt:lpwstr>
  </property>
  <property fmtid="{D5CDD505-2E9C-101B-9397-08002B2CF9AE}" pid="32" name="NOSE32">
    <vt:lpwstr>שמאי מקרקעין</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