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974C8" w14:textId="77777777" w:rsidR="00866D86" w:rsidRDefault="0009592D" w:rsidP="007B7E99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תקנות</w:t>
      </w:r>
      <w:r w:rsidR="00866D86">
        <w:rPr>
          <w:rFonts w:cs="FrankRuehl"/>
          <w:sz w:val="32"/>
          <w:rtl/>
        </w:rPr>
        <w:t xml:space="preserve"> </w:t>
      </w:r>
      <w:r w:rsidR="007B7E99">
        <w:rPr>
          <w:rFonts w:cs="FrankRuehl" w:hint="cs"/>
          <w:sz w:val="32"/>
          <w:rtl/>
        </w:rPr>
        <w:t>תשתיות להולכה ולאחסון של נפט על ידי גורם מפעיל</w:t>
      </w:r>
      <w:r>
        <w:rPr>
          <w:rFonts w:cs="FrankRuehl" w:hint="cs"/>
          <w:sz w:val="32"/>
          <w:rtl/>
        </w:rPr>
        <w:t xml:space="preserve"> (הארכת מועד העברת הפעילות)</w:t>
      </w:r>
      <w:r w:rsidR="007B7E99">
        <w:rPr>
          <w:rFonts w:cs="FrankRuehl" w:hint="cs"/>
          <w:sz w:val="32"/>
          <w:rtl/>
        </w:rPr>
        <w:t>, תשע"</w:t>
      </w:r>
      <w:r>
        <w:rPr>
          <w:rFonts w:cs="FrankRuehl" w:hint="cs"/>
          <w:sz w:val="32"/>
          <w:rtl/>
        </w:rPr>
        <w:t>ט</w:t>
      </w:r>
      <w:r w:rsidR="007B7E99">
        <w:rPr>
          <w:rFonts w:cs="FrankRuehl" w:hint="cs"/>
          <w:sz w:val="32"/>
          <w:rtl/>
        </w:rPr>
        <w:t>-201</w:t>
      </w:r>
      <w:r>
        <w:rPr>
          <w:rFonts w:cs="FrankRuehl" w:hint="cs"/>
          <w:sz w:val="32"/>
          <w:rtl/>
        </w:rPr>
        <w:t>9</w:t>
      </w:r>
    </w:p>
    <w:p w14:paraId="5AC2198F" w14:textId="77777777" w:rsidR="001E5F3B" w:rsidRDefault="001E5F3B" w:rsidP="001E5F3B">
      <w:pPr>
        <w:spacing w:line="320" w:lineRule="auto"/>
        <w:jc w:val="left"/>
        <w:rPr>
          <w:rFonts w:hint="cs"/>
          <w:rtl/>
        </w:rPr>
      </w:pPr>
    </w:p>
    <w:p w14:paraId="635B7B5B" w14:textId="77777777" w:rsidR="005154F4" w:rsidRDefault="005154F4" w:rsidP="001E5F3B">
      <w:pPr>
        <w:spacing w:line="320" w:lineRule="auto"/>
        <w:jc w:val="left"/>
        <w:rPr>
          <w:rFonts w:hint="cs"/>
          <w:rtl/>
        </w:rPr>
      </w:pPr>
    </w:p>
    <w:p w14:paraId="47984E4A" w14:textId="77777777" w:rsidR="001E5F3B" w:rsidRPr="001E5F3B" w:rsidRDefault="001E5F3B" w:rsidP="001E5F3B">
      <w:pPr>
        <w:spacing w:line="320" w:lineRule="auto"/>
        <w:jc w:val="left"/>
        <w:rPr>
          <w:rFonts w:cs="Miriam"/>
          <w:szCs w:val="22"/>
          <w:rtl/>
        </w:rPr>
      </w:pPr>
      <w:r w:rsidRPr="001E5F3B">
        <w:rPr>
          <w:rFonts w:cs="Miriam"/>
          <w:szCs w:val="22"/>
          <w:rtl/>
        </w:rPr>
        <w:t>רשויות ומשפט מנהלי</w:t>
      </w:r>
      <w:r w:rsidRPr="001E5F3B">
        <w:rPr>
          <w:rFonts w:cs="FrankRuehl"/>
          <w:szCs w:val="26"/>
          <w:rtl/>
        </w:rPr>
        <w:t xml:space="preserve"> – תשתיות – נפט</w:t>
      </w:r>
    </w:p>
    <w:p w14:paraId="39004CDE" w14:textId="77777777" w:rsidR="00866D86" w:rsidRDefault="00866D86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C23BE5" w:rsidRPr="00C23BE5" w14:paraId="12127859" w14:textId="77777777" w:rsidTr="00C23BE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B91AE46" w14:textId="77777777" w:rsidR="00C23BE5" w:rsidRPr="00C23BE5" w:rsidRDefault="00C23BE5" w:rsidP="00C23BE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7ED79429" w14:textId="77777777" w:rsidR="00C23BE5" w:rsidRPr="00C23BE5" w:rsidRDefault="00C23BE5" w:rsidP="00C23BE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הארכת מועד</w:t>
            </w:r>
          </w:p>
        </w:tc>
        <w:tc>
          <w:tcPr>
            <w:tcW w:w="567" w:type="dxa"/>
          </w:tcPr>
          <w:p w14:paraId="2F5BD5D7" w14:textId="77777777" w:rsidR="00C23BE5" w:rsidRPr="00C23BE5" w:rsidRDefault="00C23BE5" w:rsidP="00C23BE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ארכת מועד" w:history="1">
              <w:r w:rsidRPr="00C23BE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1277723" w14:textId="77777777" w:rsidR="00C23BE5" w:rsidRPr="00C23BE5" w:rsidRDefault="00C23BE5" w:rsidP="00C23BE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23BE5" w:rsidRPr="00C23BE5" w14:paraId="4F979944" w14:textId="77777777" w:rsidTr="00C23BE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99FA0E8" w14:textId="77777777" w:rsidR="00C23BE5" w:rsidRPr="00C23BE5" w:rsidRDefault="00C23BE5" w:rsidP="00C23BE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2BECD56D" w14:textId="77777777" w:rsidR="00C23BE5" w:rsidRPr="00C23BE5" w:rsidRDefault="00C23BE5" w:rsidP="00C23BE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567" w:type="dxa"/>
          </w:tcPr>
          <w:p w14:paraId="37C474B7" w14:textId="77777777" w:rsidR="00C23BE5" w:rsidRPr="00C23BE5" w:rsidRDefault="00C23BE5" w:rsidP="00C23BE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תחילה" w:history="1">
              <w:r w:rsidRPr="00C23BE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6BE5A37" w14:textId="77777777" w:rsidR="00C23BE5" w:rsidRPr="00C23BE5" w:rsidRDefault="00C23BE5" w:rsidP="00C23BE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05DFA2C5" w14:textId="77777777" w:rsidR="00866D86" w:rsidRDefault="00866D86">
      <w:pPr>
        <w:pStyle w:val="big-header"/>
        <w:ind w:left="0" w:right="1134"/>
        <w:rPr>
          <w:rFonts w:cs="FrankRuehl"/>
          <w:sz w:val="32"/>
          <w:rtl/>
        </w:rPr>
      </w:pPr>
    </w:p>
    <w:p w14:paraId="6F74039B" w14:textId="77777777" w:rsidR="00866D86" w:rsidRDefault="00866D86" w:rsidP="007B7E99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 w:rsidR="0009592D">
        <w:rPr>
          <w:rFonts w:cs="FrankRuehl" w:hint="cs"/>
          <w:sz w:val="32"/>
          <w:rtl/>
        </w:rPr>
        <w:lastRenderedPageBreak/>
        <w:t>תקנות</w:t>
      </w:r>
      <w:r w:rsidR="0009592D">
        <w:rPr>
          <w:rFonts w:cs="FrankRuehl"/>
          <w:sz w:val="32"/>
          <w:rtl/>
        </w:rPr>
        <w:t xml:space="preserve"> </w:t>
      </w:r>
      <w:r w:rsidR="0009592D">
        <w:rPr>
          <w:rFonts w:cs="FrankRuehl" w:hint="cs"/>
          <w:sz w:val="32"/>
          <w:rtl/>
        </w:rPr>
        <w:t>תשתיות להולכה ולאחסון של נפט על ידי גורם מפעיל (הארכת מועד העברת הפעילות), תשע"ט-2019</w:t>
      </w:r>
      <w:r>
        <w:rPr>
          <w:rStyle w:val="default"/>
          <w:rtl/>
        </w:rPr>
        <w:footnoteReference w:customMarkFollows="1" w:id="1"/>
        <w:t>*</w:t>
      </w:r>
    </w:p>
    <w:p w14:paraId="50BB394F" w14:textId="77777777" w:rsidR="00866D86" w:rsidRDefault="0009592D" w:rsidP="0009592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בתוקף סמכותי לפי סעיף 31(ב) לחוק תשתיות להולכה ולאחסון של נפט על ידי גורם מפעיל, התשע"ז-2017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החוק), ובאישור ועדת הכספים של הכנסת, אני מצווה לאמור:</w:t>
      </w:r>
    </w:p>
    <w:p w14:paraId="39926A09" w14:textId="77777777" w:rsidR="00866D86" w:rsidRDefault="00866D86" w:rsidP="00F159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780063CE">
          <v:rect id="_x0000_s1026" style="position:absolute;left:0;text-align:left;margin-left:464.5pt;margin-top:8.05pt;width:75.05pt;height:21.25pt;z-index:251657216" o:allowincell="f" filled="f" stroked="f" strokecolor="lime" strokeweight=".25pt">
            <v:textbox inset="0,0,0,0">
              <w:txbxContent>
                <w:p w14:paraId="65B7AF79" w14:textId="77777777" w:rsidR="009F26E0" w:rsidRDefault="0009592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הארכת מועד</w:t>
                  </w:r>
                </w:p>
                <w:p w14:paraId="52D3A3DA" w14:textId="77777777" w:rsidR="00E1429C" w:rsidRDefault="00E1429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תק' תשע"ט-2019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09592D">
        <w:rPr>
          <w:rStyle w:val="default"/>
          <w:rFonts w:cs="FrankRuehl" w:hint="cs"/>
          <w:rtl/>
        </w:rPr>
        <w:t xml:space="preserve">בשל נסיבות שלא היה ניתן לצפותן מראש, אני מאריך את מועד העברת הפעילות מבעל זיכיון המשנה לחברה שהוקמה לפי סעיף 2(א) לחוק, עד יום </w:t>
      </w:r>
      <w:r w:rsidR="00E1429C" w:rsidRPr="00E1429C">
        <w:rPr>
          <w:rStyle w:val="default"/>
          <w:rFonts w:cs="FrankRuehl" w:hint="cs"/>
          <w:rtl/>
        </w:rPr>
        <w:t>י"ח באדר ב' התשע"ט (25 במרס 2019</w:t>
      </w:r>
      <w:r w:rsidR="0009592D">
        <w:rPr>
          <w:rStyle w:val="default"/>
          <w:rFonts w:cs="FrankRuehl" w:hint="cs"/>
          <w:rtl/>
        </w:rPr>
        <w:t>).</w:t>
      </w:r>
    </w:p>
    <w:p w14:paraId="40FAA90C" w14:textId="77777777" w:rsidR="00E1429C" w:rsidRPr="00E1429C" w:rsidRDefault="00E1429C" w:rsidP="00E1429C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bookmarkStart w:id="1" w:name="Rov4"/>
      <w:r w:rsidRPr="00E1429C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26.12.2018</w:t>
      </w:r>
    </w:p>
    <w:p w14:paraId="6B33F9AA" w14:textId="77777777" w:rsidR="00E1429C" w:rsidRPr="00E1429C" w:rsidRDefault="00E1429C" w:rsidP="00E1429C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E1429C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תשע"ט-2019</w:t>
      </w:r>
    </w:p>
    <w:p w14:paraId="43FDD376" w14:textId="77777777" w:rsidR="00E1429C" w:rsidRPr="00E1429C" w:rsidRDefault="00E1429C" w:rsidP="00E1429C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6" w:history="1">
        <w:r w:rsidRPr="00E1429C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תשע"ט מס' 8157</w:t>
        </w:r>
      </w:hyperlink>
      <w:r w:rsidRPr="00E1429C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27.1.2019 עמ' 1906</w:t>
      </w:r>
    </w:p>
    <w:p w14:paraId="7BA63480" w14:textId="77777777" w:rsidR="00E1429C" w:rsidRPr="00E1429C" w:rsidRDefault="00E1429C" w:rsidP="00E1429C">
      <w:pPr>
        <w:pStyle w:val="P00"/>
        <w:ind w:left="0" w:right="1134"/>
        <w:rPr>
          <w:rStyle w:val="default"/>
          <w:rFonts w:cs="FrankRuehl"/>
          <w:sz w:val="2"/>
          <w:szCs w:val="2"/>
          <w:rtl/>
        </w:rPr>
      </w:pPr>
      <w:r w:rsidRPr="00E1429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E1429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1429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בשל נסיבות שלא היה ניתן לצפותן מראש, אני מאריך את מועד העברת הפעילות מבעל זיכיון המשנה לחברה שהוקמה לפי סעיף 2(א) לחוק, עד יום </w:t>
      </w:r>
      <w:r w:rsidRPr="00E1429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י"ז בטבת התשע"ט (25 בדצמבר 2018)</w:t>
      </w:r>
      <w:r w:rsidRPr="00E1429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1429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י"ח באדר ב' התשע"ט (25 במרס 2019)</w:t>
      </w:r>
      <w:r w:rsidRPr="00E1429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1"/>
    </w:p>
    <w:p w14:paraId="3238FC26" w14:textId="77777777" w:rsidR="00866D86" w:rsidRDefault="00866D86" w:rsidP="00B735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4201BE83">
          <v:rect id="_x0000_s1027" style="position:absolute;left:0;text-align:left;margin-left:464.5pt;margin-top:8.05pt;width:75.05pt;height:12.95pt;z-index:251658240" o:allowincell="f" filled="f" stroked="f" strokecolor="lime" strokeweight=".25pt">
            <v:textbox style="mso-next-textbox:#_x0000_s1027" inset="0,0,0,0">
              <w:txbxContent>
                <w:p w14:paraId="1FDA8253" w14:textId="77777777" w:rsidR="009F26E0" w:rsidRDefault="0009592D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 w:rsidR="0009592D">
        <w:rPr>
          <w:rStyle w:val="default"/>
          <w:rFonts w:cs="FrankRuehl" w:hint="cs"/>
          <w:rtl/>
        </w:rPr>
        <w:t>תחילתן של תקנות אלה ביום י"ז בתשרי התשע"ט (26 בספטמבר 2018)</w:t>
      </w:r>
      <w:r>
        <w:rPr>
          <w:rStyle w:val="default"/>
          <w:rFonts w:cs="FrankRuehl" w:hint="cs"/>
          <w:rtl/>
        </w:rPr>
        <w:t>.</w:t>
      </w:r>
    </w:p>
    <w:p w14:paraId="4F2E1C24" w14:textId="77777777" w:rsidR="0009592D" w:rsidRDefault="0009592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6FA5EDB" w14:textId="77777777" w:rsidR="0009592D" w:rsidRDefault="0009592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E15BFDD" w14:textId="77777777" w:rsidR="00163F67" w:rsidRDefault="0009592D" w:rsidP="0009592D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Fonts w:cs="FrankRuehl" w:hint="cs"/>
          <w:sz w:val="26"/>
          <w:szCs w:val="26"/>
          <w:rtl/>
        </w:rPr>
      </w:pPr>
      <w:r>
        <w:rPr>
          <w:rFonts w:cs="FrankRuehl" w:hint="cs"/>
          <w:sz w:val="26"/>
          <w:szCs w:val="26"/>
          <w:rtl/>
        </w:rPr>
        <w:t>כ"ט בחשוון התשע"ט (7 בנובמבר 2018)</w:t>
      </w:r>
      <w:r w:rsidR="00163F67">
        <w:rPr>
          <w:rFonts w:cs="FrankRuehl"/>
          <w:sz w:val="26"/>
          <w:szCs w:val="26"/>
          <w:rtl/>
        </w:rPr>
        <w:tab/>
      </w:r>
      <w:r w:rsidR="00163F67">
        <w:rPr>
          <w:rFonts w:cs="FrankRuehl" w:hint="cs"/>
          <w:sz w:val="26"/>
          <w:szCs w:val="26"/>
          <w:rtl/>
        </w:rPr>
        <w:t>משה כחלון</w:t>
      </w:r>
    </w:p>
    <w:p w14:paraId="636E65FD" w14:textId="77777777" w:rsidR="00163F67" w:rsidRDefault="00163F67" w:rsidP="0009592D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 w:hint="cs"/>
          <w:sz w:val="22"/>
          <w:rtl/>
        </w:rPr>
        <w:t>שר האוצר</w:t>
      </w:r>
    </w:p>
    <w:p w14:paraId="1D4B798C" w14:textId="77777777" w:rsidR="0009592D" w:rsidRDefault="0009592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382B324" w14:textId="77777777" w:rsidR="00866D86" w:rsidRDefault="00866D8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81F70A0" w14:textId="77777777" w:rsidR="00866D86" w:rsidRDefault="00866D8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69309066" w14:textId="77777777" w:rsidR="00C23BE5" w:rsidRDefault="00C23BE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7209703" w14:textId="77777777" w:rsidR="00C23BE5" w:rsidRDefault="00C23BE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84E0E88" w14:textId="77777777" w:rsidR="00C23BE5" w:rsidRDefault="00C23BE5" w:rsidP="00C23BE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359032FA" w14:textId="77777777" w:rsidR="00EC4E0E" w:rsidRPr="00C23BE5" w:rsidRDefault="00EC4E0E" w:rsidP="00C23BE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EC4E0E" w:rsidRPr="00C23BE5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D3B03" w14:textId="77777777" w:rsidR="00240B95" w:rsidRDefault="00240B95">
      <w:r>
        <w:separator/>
      </w:r>
    </w:p>
  </w:endnote>
  <w:endnote w:type="continuationSeparator" w:id="0">
    <w:p w14:paraId="5DFE7886" w14:textId="77777777" w:rsidR="00240B95" w:rsidRDefault="00240B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2CB5F" w14:textId="77777777" w:rsidR="009F26E0" w:rsidRDefault="009F26E0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A00C398" w14:textId="77777777" w:rsidR="009F26E0" w:rsidRDefault="009F26E0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1A5C6E05" w14:textId="77777777" w:rsidR="009F26E0" w:rsidRDefault="009F26E0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Z:\00000000000000000000000=2014------------------------\LawsForTableRun\04\315_001.doc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7764D" w14:textId="77777777" w:rsidR="009F26E0" w:rsidRDefault="009F26E0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7B18C1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63250BA" w14:textId="77777777" w:rsidR="009F26E0" w:rsidRDefault="009F26E0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534FA0A6" w14:textId="77777777" w:rsidR="009F26E0" w:rsidRDefault="009F26E0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Z:\00000000000000000000000=2014------------------------\LawsForTableRun\04\315_001.doc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677FD" w14:textId="77777777" w:rsidR="00240B95" w:rsidRDefault="00240B95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4584404" w14:textId="77777777" w:rsidR="00240B95" w:rsidRDefault="00240B95">
      <w:pPr>
        <w:spacing w:before="60" w:line="240" w:lineRule="auto"/>
        <w:ind w:right="1134"/>
      </w:pPr>
      <w:r>
        <w:separator/>
      </w:r>
    </w:p>
  </w:footnote>
  <w:footnote w:id="1">
    <w:p w14:paraId="3776C459" w14:textId="77777777" w:rsidR="007335AF" w:rsidRDefault="009F26E0" w:rsidP="007335A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>רס</w:t>
      </w:r>
      <w:r w:rsidR="0009592D">
        <w:rPr>
          <w:rFonts w:cs="FrankRuehl" w:hint="cs"/>
          <w:rtl/>
        </w:rPr>
        <w:t>מו</w:t>
      </w:r>
      <w:r>
        <w:rPr>
          <w:rFonts w:cs="FrankRuehl" w:hint="cs"/>
          <w:rtl/>
        </w:rPr>
        <w:t xml:space="preserve"> </w:t>
      </w:r>
      <w:hyperlink r:id="rId1" w:history="1">
        <w:r w:rsidR="0009592D" w:rsidRPr="007335AF">
          <w:rPr>
            <w:rStyle w:val="Hyperlink"/>
            <w:rFonts w:cs="FrankRuehl" w:hint="cs"/>
            <w:rtl/>
          </w:rPr>
          <w:t>ק"ת</w:t>
        </w:r>
        <w:r w:rsidRPr="007335AF">
          <w:rPr>
            <w:rStyle w:val="Hyperlink"/>
            <w:rFonts w:cs="FrankRuehl" w:hint="cs"/>
          </w:rPr>
          <w:t xml:space="preserve"> </w:t>
        </w:r>
        <w:r w:rsidRPr="007335AF">
          <w:rPr>
            <w:rStyle w:val="Hyperlink"/>
            <w:rFonts w:cs="FrankRuehl" w:hint="cs"/>
            <w:rtl/>
          </w:rPr>
          <w:t>תשע"</w:t>
        </w:r>
        <w:r w:rsidR="0009592D" w:rsidRPr="007335AF">
          <w:rPr>
            <w:rStyle w:val="Hyperlink"/>
            <w:rFonts w:cs="FrankRuehl" w:hint="cs"/>
            <w:rtl/>
          </w:rPr>
          <w:t>ט</w:t>
        </w:r>
        <w:r w:rsidRPr="007335AF">
          <w:rPr>
            <w:rStyle w:val="Hyperlink"/>
            <w:rFonts w:cs="FrankRuehl" w:hint="cs"/>
            <w:rtl/>
          </w:rPr>
          <w:t xml:space="preserve"> מס' </w:t>
        </w:r>
        <w:r w:rsidR="0009592D" w:rsidRPr="007335AF">
          <w:rPr>
            <w:rStyle w:val="Hyperlink"/>
            <w:rFonts w:cs="FrankRuehl" w:hint="cs"/>
            <w:rtl/>
          </w:rPr>
          <w:t>8107</w:t>
        </w:r>
      </w:hyperlink>
      <w:r>
        <w:rPr>
          <w:rFonts w:cs="FrankRuehl" w:hint="cs"/>
          <w:rtl/>
        </w:rPr>
        <w:t xml:space="preserve"> מיום </w:t>
      </w:r>
      <w:r w:rsidR="0009592D">
        <w:rPr>
          <w:rFonts w:cs="FrankRuehl" w:hint="cs"/>
          <w:rtl/>
        </w:rPr>
        <w:t>19.11.2018</w:t>
      </w:r>
      <w:r>
        <w:rPr>
          <w:rFonts w:cs="FrankRuehl" w:hint="cs"/>
          <w:rtl/>
        </w:rPr>
        <w:t xml:space="preserve"> עמ' </w:t>
      </w:r>
      <w:r w:rsidR="0009592D">
        <w:rPr>
          <w:rFonts w:cs="FrankRuehl" w:hint="cs"/>
          <w:rtl/>
        </w:rPr>
        <w:t>1335</w:t>
      </w:r>
      <w:r>
        <w:rPr>
          <w:rFonts w:cs="FrankRuehl" w:hint="cs"/>
          <w:rtl/>
        </w:rPr>
        <w:t>.</w:t>
      </w:r>
    </w:p>
    <w:p w14:paraId="625753AF" w14:textId="77777777" w:rsidR="007B18C1" w:rsidRDefault="00E1429C" w:rsidP="007B18C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 xml:space="preserve">תוקנו </w:t>
      </w:r>
      <w:hyperlink r:id="rId2" w:history="1">
        <w:r w:rsidRPr="007B18C1">
          <w:rPr>
            <w:rStyle w:val="Hyperlink"/>
            <w:rFonts w:cs="FrankRuehl" w:hint="cs"/>
            <w:rtl/>
          </w:rPr>
          <w:t>ק"ת תשע"ט מס' 8157</w:t>
        </w:r>
      </w:hyperlink>
      <w:r>
        <w:rPr>
          <w:rFonts w:cs="FrankRuehl" w:hint="cs"/>
          <w:rtl/>
        </w:rPr>
        <w:t xml:space="preserve"> מיום 27.1.2019 עמ' 1906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תשע"ט-2019; תחילתן ביום 26.12.2018.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BE015" w14:textId="77777777" w:rsidR="009F26E0" w:rsidRDefault="009F26E0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הנפט, תשי"ב- 1952</w:t>
    </w:r>
  </w:p>
  <w:p w14:paraId="7860337B" w14:textId="77777777" w:rsidR="009F26E0" w:rsidRDefault="009F26E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DA3FC2F" w14:textId="77777777" w:rsidR="009F26E0" w:rsidRDefault="009F26E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3D1CB" w14:textId="77777777" w:rsidR="009F26E0" w:rsidRDefault="0009592D" w:rsidP="007B7E99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תקנות</w:t>
    </w:r>
    <w:r w:rsidR="009F26E0">
      <w:rPr>
        <w:rFonts w:hAnsi="FrankRuehl" w:cs="FrankRuehl"/>
        <w:color w:val="000000"/>
        <w:sz w:val="28"/>
        <w:szCs w:val="28"/>
        <w:rtl/>
      </w:rPr>
      <w:t xml:space="preserve"> </w:t>
    </w:r>
    <w:r w:rsidR="009F26E0">
      <w:rPr>
        <w:rFonts w:hAnsi="FrankRuehl" w:cs="FrankRuehl" w:hint="cs"/>
        <w:color w:val="000000"/>
        <w:sz w:val="28"/>
        <w:szCs w:val="28"/>
        <w:rtl/>
      </w:rPr>
      <w:t>תשתיות להולכה ולאחסון של נפט על ידי גורם מפעיל</w:t>
    </w:r>
    <w:r>
      <w:rPr>
        <w:rFonts w:hAnsi="FrankRuehl" w:cs="FrankRuehl" w:hint="cs"/>
        <w:color w:val="000000"/>
        <w:sz w:val="28"/>
        <w:szCs w:val="28"/>
        <w:rtl/>
      </w:rPr>
      <w:t xml:space="preserve"> (הארכת מועד העברת הפעילות)</w:t>
    </w:r>
    <w:r w:rsidR="009F26E0">
      <w:rPr>
        <w:rFonts w:hAnsi="FrankRuehl" w:cs="FrankRuehl" w:hint="cs"/>
        <w:color w:val="000000"/>
        <w:sz w:val="28"/>
        <w:szCs w:val="28"/>
        <w:rtl/>
      </w:rPr>
      <w:t>, תשע"</w:t>
    </w:r>
    <w:r>
      <w:rPr>
        <w:rFonts w:hAnsi="FrankRuehl" w:cs="FrankRuehl" w:hint="cs"/>
        <w:color w:val="000000"/>
        <w:sz w:val="28"/>
        <w:szCs w:val="28"/>
        <w:rtl/>
      </w:rPr>
      <w:t>ט</w:t>
    </w:r>
    <w:r w:rsidR="009F26E0">
      <w:rPr>
        <w:rFonts w:hAnsi="FrankRuehl" w:cs="FrankRuehl" w:hint="cs"/>
        <w:color w:val="000000"/>
        <w:sz w:val="28"/>
        <w:szCs w:val="28"/>
        <w:rtl/>
      </w:rPr>
      <w:t>-201</w:t>
    </w:r>
    <w:r>
      <w:rPr>
        <w:rFonts w:hAnsi="FrankRuehl" w:cs="FrankRuehl" w:hint="cs"/>
        <w:color w:val="000000"/>
        <w:sz w:val="28"/>
        <w:szCs w:val="28"/>
        <w:rtl/>
      </w:rPr>
      <w:t>8</w:t>
    </w:r>
  </w:p>
  <w:p w14:paraId="53E41BF5" w14:textId="77777777" w:rsidR="009F26E0" w:rsidRDefault="009F26E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1115D38" w14:textId="77777777" w:rsidR="009F26E0" w:rsidRDefault="009F26E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E5F3B"/>
    <w:rsid w:val="00000CF8"/>
    <w:rsid w:val="0001096A"/>
    <w:rsid w:val="00063206"/>
    <w:rsid w:val="000941ED"/>
    <w:rsid w:val="0009592D"/>
    <w:rsid w:val="00096ADC"/>
    <w:rsid w:val="000C3D25"/>
    <w:rsid w:val="00103608"/>
    <w:rsid w:val="00163F67"/>
    <w:rsid w:val="001E5F3B"/>
    <w:rsid w:val="00204245"/>
    <w:rsid w:val="002229D2"/>
    <w:rsid w:val="0022508A"/>
    <w:rsid w:val="00240B95"/>
    <w:rsid w:val="00280E60"/>
    <w:rsid w:val="002C6DF4"/>
    <w:rsid w:val="002F4529"/>
    <w:rsid w:val="00315EF9"/>
    <w:rsid w:val="00330C19"/>
    <w:rsid w:val="00357C77"/>
    <w:rsid w:val="00374F09"/>
    <w:rsid w:val="004277B4"/>
    <w:rsid w:val="004D2595"/>
    <w:rsid w:val="004E3AA4"/>
    <w:rsid w:val="00504375"/>
    <w:rsid w:val="005130A5"/>
    <w:rsid w:val="005154F4"/>
    <w:rsid w:val="00620F7B"/>
    <w:rsid w:val="00667BA7"/>
    <w:rsid w:val="006A43D4"/>
    <w:rsid w:val="006B19A2"/>
    <w:rsid w:val="006B6622"/>
    <w:rsid w:val="006F2C99"/>
    <w:rsid w:val="00701B39"/>
    <w:rsid w:val="007335AF"/>
    <w:rsid w:val="007670E2"/>
    <w:rsid w:val="007B18C1"/>
    <w:rsid w:val="007B7E99"/>
    <w:rsid w:val="007D4F69"/>
    <w:rsid w:val="00866D86"/>
    <w:rsid w:val="00866D98"/>
    <w:rsid w:val="008C2F1D"/>
    <w:rsid w:val="00980055"/>
    <w:rsid w:val="009E2531"/>
    <w:rsid w:val="009E4693"/>
    <w:rsid w:val="009F26E0"/>
    <w:rsid w:val="00A03158"/>
    <w:rsid w:val="00A51062"/>
    <w:rsid w:val="00A577CE"/>
    <w:rsid w:val="00A651F1"/>
    <w:rsid w:val="00A9679B"/>
    <w:rsid w:val="00B274B7"/>
    <w:rsid w:val="00B54240"/>
    <w:rsid w:val="00B735E0"/>
    <w:rsid w:val="00BD65C7"/>
    <w:rsid w:val="00BE5108"/>
    <w:rsid w:val="00C23BE5"/>
    <w:rsid w:val="00C700EC"/>
    <w:rsid w:val="00CF71F8"/>
    <w:rsid w:val="00D02F4B"/>
    <w:rsid w:val="00D7578C"/>
    <w:rsid w:val="00D94B89"/>
    <w:rsid w:val="00DB5A23"/>
    <w:rsid w:val="00DE7348"/>
    <w:rsid w:val="00E1429C"/>
    <w:rsid w:val="00EB47C2"/>
    <w:rsid w:val="00EC0DD7"/>
    <w:rsid w:val="00EC347F"/>
    <w:rsid w:val="00EC4E0E"/>
    <w:rsid w:val="00F15965"/>
    <w:rsid w:val="00FC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0044A593"/>
  <w15:chartTrackingRefBased/>
  <w15:docId w15:val="{A85AC1E3-5D3A-4808-B0D6-BAB2B6D20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table" w:styleId="a7">
    <w:name w:val="Table Grid"/>
    <w:basedOn w:val="a1"/>
    <w:rsid w:val="00204245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uiPriority w:val="99"/>
    <w:semiHidden/>
    <w:unhideWhenUsed/>
    <w:rsid w:val="00E142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8157.pdf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8157.pdf" TargetMode="External"/><Relationship Id="rId1" Type="http://schemas.openxmlformats.org/officeDocument/2006/relationships/hyperlink" Target="http://www.nevo.co.il/Law_word/law06/TAK-810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1327</CharactersWithSpaces>
  <SharedDoc>false</SharedDoc>
  <HLinks>
    <vt:vector size="36" baseType="variant">
      <vt:variant>
        <vt:i4>393283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7602190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http://www.nevo.co.il/Law_word/law06/tak-8157.pdf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7602190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http://www.nevo.co.il/Law_word/law06/tak-8157.pdf</vt:lpwstr>
      </vt:variant>
      <vt:variant>
        <vt:lpwstr/>
      </vt:variant>
      <vt:variant>
        <vt:i4>7405582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http://www.nevo.co.il/Law_word/law06/TAK-8107.pdf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2023-06-05T20:40:00Z</dcterms:created>
  <dcterms:modified xsi:type="dcterms:W3CDTF">2023-06-05T20:40:00Z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נפט</vt:lpwstr>
  </property>
  <property fmtid="{D5CDD505-2E9C-101B-9397-08002B2CF9AE}" pid="4" name="LAWNAME">
    <vt:lpwstr>תקנות תשתיות להולכה ולאחסון של נפט על ידי גורם מפעיל (הארכת מועד העברת הפעילות), תשע"ט-2018</vt:lpwstr>
  </property>
  <property fmtid="{D5CDD505-2E9C-101B-9397-08002B2CF9AE}" pid="5" name="LAWNUMBER">
    <vt:lpwstr>0989</vt:lpwstr>
  </property>
  <property fmtid="{D5CDD505-2E9C-101B-9397-08002B2CF9AE}" pid="6" name="TYPE">
    <vt:lpwstr>01</vt:lpwstr>
  </property>
  <property fmtid="{D5CDD505-2E9C-101B-9397-08002B2CF9AE}" pid="7" name="NOSE11">
    <vt:lpwstr>רשויות ומשפט מנהלי</vt:lpwstr>
  </property>
  <property fmtid="{D5CDD505-2E9C-101B-9397-08002B2CF9AE}" pid="8" name="NOSE21">
    <vt:lpwstr>תשתיות</vt:lpwstr>
  </property>
  <property fmtid="{D5CDD505-2E9C-101B-9397-08002B2CF9AE}" pid="9" name="NOSE31">
    <vt:lpwstr>נפט</vt:lpwstr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SAMCHUT">
    <vt:lpwstr/>
  </property>
  <property fmtid="{D5CDD505-2E9C-101B-9397-08002B2CF9AE}" pid="48" name="LINKK2">
    <vt:lpwstr>http://www.nevo.co.il/Law_word/law06/tak-8157.pdf;‎רשומות - תקנות כלליות#תוקנו ק"ת תשע"ט מס' ‏‏8157 #מיום 27.1.2019 עמ' 1906 – תק' תשע"ט-2019; תחילתן ביום 26.12.2018‏</vt:lpwstr>
  </property>
  <property fmtid="{D5CDD505-2E9C-101B-9397-08002B2CF9AE}" pid="49" name="LINKK3">
    <vt:lpwstr/>
  </property>
  <property fmtid="{D5CDD505-2E9C-101B-9397-08002B2CF9AE}" pid="50" name="LINKK4">
    <vt:lpwstr/>
  </property>
  <property fmtid="{D5CDD505-2E9C-101B-9397-08002B2CF9AE}" pid="51" name="LINKK5">
    <vt:lpwstr/>
  </property>
  <property fmtid="{D5CDD505-2E9C-101B-9397-08002B2CF9AE}" pid="52" name="LINKK6">
    <vt:lpwstr/>
  </property>
  <property fmtid="{D5CDD505-2E9C-101B-9397-08002B2CF9AE}" pid="53" name="LINKK7">
    <vt:lpwstr/>
  </property>
  <property fmtid="{D5CDD505-2E9C-101B-9397-08002B2CF9AE}" pid="54" name="LINKK8">
    <vt:lpwstr/>
  </property>
  <property fmtid="{D5CDD505-2E9C-101B-9397-08002B2CF9AE}" pid="55" name="LINKK9">
    <vt:lpwstr/>
  </property>
  <property fmtid="{D5CDD505-2E9C-101B-9397-08002B2CF9AE}" pid="56" name="LINKK10">
    <vt:lpwstr/>
  </property>
  <property fmtid="{D5CDD505-2E9C-101B-9397-08002B2CF9AE}" pid="57" name="LINKI1">
    <vt:lpwstr/>
  </property>
  <property fmtid="{D5CDD505-2E9C-101B-9397-08002B2CF9AE}" pid="58" name="LINKI2">
    <vt:lpwstr/>
  </property>
  <property fmtid="{D5CDD505-2E9C-101B-9397-08002B2CF9AE}" pid="59" name="LINKI3">
    <vt:lpwstr/>
  </property>
  <property fmtid="{D5CDD505-2E9C-101B-9397-08002B2CF9AE}" pid="60" name="LINKI4">
    <vt:lpwstr/>
  </property>
  <property fmtid="{D5CDD505-2E9C-101B-9397-08002B2CF9AE}" pid="61" name="LINKI5">
    <vt:lpwstr/>
  </property>
  <property fmtid="{D5CDD505-2E9C-101B-9397-08002B2CF9AE}" pid="62" name="MEKOR_NAME1">
    <vt:lpwstr>חוק תשתיות להולכה ולאחסון של נפט על ידי גורם מפעיל</vt:lpwstr>
  </property>
  <property fmtid="{D5CDD505-2E9C-101B-9397-08002B2CF9AE}" pid="63" name="MEKOR_SAIF1">
    <vt:lpwstr>31XבX</vt:lpwstr>
  </property>
  <property fmtid="{D5CDD505-2E9C-101B-9397-08002B2CF9AE}" pid="64" name="LINKK1">
    <vt:lpwstr>http://www.nevo.co.il/Law_word/law06/TAK-8107.pdf;‎רשומות - תקנות כלליות#פורסמו ק"ת‎ ‎תשע"ט ‏מס' 8107 #מיום 19.11.2018 עמ' 1335‏</vt:lpwstr>
  </property>
</Properties>
</file>