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0dede06da4a461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איגודי ערים, תשט"ו-1955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א':איגוד ערים</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איגוד ערים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איגוד ערים – תאגיד</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איגוד ערים – גוף מבוקר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מועצת איגוד ערים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מנהל כללי</w:t>
                </w:r>
              </w:p>
            </w:tc>
            <w:tc>
              <w:tcPr>
                <w:tcW w:w="800" w:type="pct"/>
              </w:tcPr>
              <w:p>
                <w:pPr>
                  <w:bidi/>
                  <w:spacing w:before="45" w:after="5" w:line="250" w:lineRule="auto"/>
                </w:pPr>
                <w:defaultTabStop w:val="720"/>
                <w:r>
                  <w:rPr>
                    <w:lang w:bidi="he-IL"/>
                    <w:rFonts w:hint="cs" w:cs="Times New Roman"/>
                    <w:szCs w:val="24"/>
                    <w:rtl/>
                  </w:rPr>
                  <w:t xml:space="preserve">סעיף 8א</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איגוד ערים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ייחוד סמכויות ותפקידים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אומדן ותקציבים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התקשרות בין איגוד ערים לרשות מקומית</w:t>
                </w:r>
              </w:p>
            </w:tc>
            <w:tc>
              <w:tcPr>
                <w:tcW w:w="800" w:type="pct"/>
              </w:tcPr>
              <w:p>
                <w:pPr>
                  <w:bidi/>
                  <w:spacing w:before="45" w:after="5" w:line="250" w:lineRule="auto"/>
                </w:pPr>
                <w:defaultTabStop w:val="720"/>
                <w:r>
                  <w:rPr>
                    <w:lang w:bidi="he-IL"/>
                    <w:rFonts w:hint="cs" w:cs="Times New Roman"/>
                    <w:szCs w:val="24"/>
                    <w:rtl/>
                  </w:rPr>
                  <w:t xml:space="preserve">סעיף 11א</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הטלת מכסות על רשויות מקומיות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הלוואות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חוקי עזר</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דברים שיש לפרשם בצו המקים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דברים שמותר לפרשם בצו המקים</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הצו המקים</w:t>
                </w:r>
              </w:p>
            </w:tc>
            <w:tc>
              <w:tcPr>
                <w:tcW w:w="800" w:type="pct"/>
              </w:tcPr>
              <w:p>
                <w:pPr>
                  <w:bidi/>
                  <w:spacing w:before="45" w:after="5" w:line="250" w:lineRule="auto"/>
                </w:pPr>
                <w:defaultTabStop w:val="720"/>
                <w:r>
                  <w:rPr>
                    <w:lang w:bidi="he-IL"/>
                    <w:rFonts w:hint="cs" w:cs="Times New Roman"/>
                    <w:szCs w:val="24"/>
                    <w:rtl/>
                  </w:rPr>
                  <w:t xml:space="preserve">סעיף 16א</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אחידות</w:t>
                </w:r>
              </w:p>
            </w:tc>
            <w:tc>
              <w:tcPr>
                <w:tcW w:w="800" w:type="pct"/>
              </w:tcPr>
              <w:p>
                <w:pPr>
                  <w:bidi/>
                  <w:spacing w:before="45" w:after="5" w:line="250" w:lineRule="auto"/>
                </w:pPr>
                <w:defaultTabStop w:val="720"/>
                <w:r>
                  <w:rPr>
                    <w:lang w:bidi="he-IL"/>
                    <w:rFonts w:hint="cs" w:cs="Times New Roman"/>
                    <w:szCs w:val="24"/>
                    <w:rtl/>
                  </w:rPr>
                  <w:t xml:space="preserve">סעיף 16ב</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ועדת חקירה</w:t>
                </w:r>
              </w:p>
            </w:tc>
            <w:tc>
              <w:tcPr>
                <w:tcW w:w="800" w:type="pct"/>
              </w:tcPr>
              <w:p>
                <w:pPr>
                  <w:bidi/>
                  <w:spacing w:before="45" w:after="5" w:line="250" w:lineRule="auto"/>
                </w:pPr>
                <w:defaultTabStop w:val="720"/>
                <w:r>
                  <w:rPr>
                    <w:lang w:bidi="he-IL"/>
                    <w:rFonts w:hint="cs" w:cs="Times New Roman"/>
                    <w:szCs w:val="24"/>
                    <w:rtl/>
                  </w:rPr>
                  <w:t xml:space="preserve">סעיף 16ג</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 ועדת החקירה</w:t>
                </w:r>
              </w:p>
            </w:tc>
            <w:tc>
              <w:tcPr>
                <w:tcW w:w="800" w:type="pct"/>
              </w:tcPr>
              <w:p>
                <w:pPr>
                  <w:bidi/>
                  <w:spacing w:before="45" w:after="5" w:line="250" w:lineRule="auto"/>
                </w:pPr>
                <w:defaultTabStop w:val="720"/>
                <w:r>
                  <w:rPr>
                    <w:lang w:bidi="he-IL"/>
                    <w:rFonts w:hint="cs" w:cs="Times New Roman"/>
                    <w:szCs w:val="24"/>
                    <w:rtl/>
                  </w:rPr>
                  <w:t xml:space="preserve">סעיף 16ד</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ועדה קרואה</w:t>
                </w:r>
              </w:p>
            </w:tc>
            <w:tc>
              <w:tcPr>
                <w:tcW w:w="800" w:type="pct"/>
              </w:tcPr>
              <w:p>
                <w:pPr>
                  <w:bidi/>
                  <w:spacing w:before="45" w:after="5" w:line="250" w:lineRule="auto"/>
                </w:pPr>
                <w:defaultTabStop w:val="720"/>
                <w:r>
                  <w:rPr>
                    <w:lang w:bidi="he-IL"/>
                    <w:rFonts w:hint="cs" w:cs="Times New Roman"/>
                    <w:szCs w:val="24"/>
                    <w:rtl/>
                  </w:rPr>
                  <w:t xml:space="preserve">סעיף 16ה</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ועדה קרואה</w:t>
                </w:r>
              </w:p>
            </w:tc>
            <w:tc>
              <w:tcPr>
                <w:tcW w:w="800" w:type="pct"/>
              </w:tcPr>
              <w:p>
                <w:pPr>
                  <w:bidi/>
                  <w:spacing w:before="45" w:after="5" w:line="250" w:lineRule="auto"/>
                </w:pPr>
                <w:defaultTabStop w:val="720"/>
                <w:r>
                  <w:rPr>
                    <w:lang w:bidi="he-IL"/>
                    <w:rFonts w:hint="cs" w:cs="Times New Roman"/>
                    <w:szCs w:val="24"/>
                    <w:rtl/>
                  </w:rPr>
                  <w:t xml:space="preserve">סעיף 16ו</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ועדה קרואה</w:t>
                </w:r>
              </w:p>
            </w:tc>
            <w:tc>
              <w:tcPr>
                <w:tcW w:w="800" w:type="pct"/>
              </w:tcPr>
              <w:p>
                <w:pPr>
                  <w:bidi/>
                  <w:spacing w:before="45" w:after="5" w:line="250" w:lineRule="auto"/>
                </w:pPr>
                <w:defaultTabStop w:val="720"/>
                <w:r>
                  <w:rPr>
                    <w:lang w:bidi="he-IL"/>
                    <w:rFonts w:hint="cs" w:cs="Times New Roman"/>
                    <w:szCs w:val="24"/>
                    <w:rtl/>
                  </w:rPr>
                  <w:t xml:space="preserve">סעיף 16ז</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 ליושב ראש הוועדה הקרואה</w:t>
                </w:r>
              </w:p>
            </w:tc>
            <w:tc>
              <w:tcPr>
                <w:tcW w:w="800" w:type="pct"/>
              </w:tcPr>
              <w:p>
                <w:pPr>
                  <w:bidi/>
                  <w:spacing w:before="45" w:after="5" w:line="250" w:lineRule="auto"/>
                </w:pPr>
                <w:defaultTabStop w:val="720"/>
                <w:r>
                  <w:rPr>
                    <w:lang w:bidi="he-IL"/>
                    <w:rFonts w:hint="cs" w:cs="Times New Roman"/>
                    <w:szCs w:val="24"/>
                    <w:rtl/>
                  </w:rPr>
                  <w:t xml:space="preserve">סעיף 16ח</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כהונה של ועדה קרואה</w:t>
                </w:r>
              </w:p>
            </w:tc>
            <w:tc>
              <w:tcPr>
                <w:tcW w:w="800" w:type="pct"/>
              </w:tcPr>
              <w:p>
                <w:pPr>
                  <w:bidi/>
                  <w:spacing w:before="45" w:after="5" w:line="250" w:lineRule="auto"/>
                </w:pPr>
                <w:defaultTabStop w:val="720"/>
                <w:r>
                  <w:rPr>
                    <w:lang w:bidi="he-IL"/>
                    <w:rFonts w:hint="cs" w:cs="Times New Roman"/>
                    <w:szCs w:val="24"/>
                    <w:rtl/>
                  </w:rPr>
                  <w:t xml:space="preserve">סעיף 16ט</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פירוק איגוד ערים</w:t>
                </w:r>
              </w:p>
            </w:tc>
            <w:tc>
              <w:tcPr>
                <w:tcW w:w="800" w:type="pct"/>
              </w:tcPr>
              <w:p>
                <w:pPr>
                  <w:bidi/>
                  <w:spacing w:before="45" w:after="5" w:line="250" w:lineRule="auto"/>
                </w:pPr>
                <w:defaultTabStop w:val="720"/>
                <w:r>
                  <w:rPr>
                    <w:lang w:bidi="he-IL"/>
                    <w:rFonts w:hint="cs" w:cs="Times New Roman"/>
                    <w:szCs w:val="24"/>
                    <w:rtl/>
                  </w:rPr>
                  <w:t xml:space="preserve">סעיף 17א</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בקשר עם פירוק</w:t>
                </w:r>
              </w:p>
            </w:tc>
            <w:tc>
              <w:tcPr>
                <w:tcW w:w="800" w:type="pct"/>
              </w:tcPr>
              <w:p>
                <w:pPr>
                  <w:bidi/>
                  <w:spacing w:before="45" w:after="5" w:line="250" w:lineRule="auto"/>
                </w:pPr>
                <w:defaultTabStop w:val="720"/>
                <w:r>
                  <w:rPr>
                    <w:lang w:bidi="he-IL"/>
                    <w:rFonts w:hint="cs" w:cs="Times New Roman"/>
                    <w:szCs w:val="24"/>
                    <w:rtl/>
                  </w:rPr>
                  <w:t xml:space="preserve">סעיף 17ב</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איגוד ערים המסרב למלא חובה מסוימת</w:t>
                </w:r>
              </w:p>
            </w:tc>
            <w:tc>
              <w:tcPr>
                <w:tcW w:w="800" w:type="pct"/>
              </w:tcPr>
              <w:p>
                <w:pPr>
                  <w:bidi/>
                  <w:spacing w:before="45" w:after="5" w:line="250" w:lineRule="auto"/>
                </w:pPr>
                <w:defaultTabStop w:val="720"/>
                <w:r>
                  <w:rPr>
                    <w:lang w:bidi="he-IL"/>
                    <w:rFonts w:hint="cs" w:cs="Times New Roman"/>
                    <w:szCs w:val="24"/>
                    <w:rtl/>
                  </w:rPr>
                  <w:t xml:space="preserve">סעיף 17ב1</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אצילת סמכויות</w:t>
                </w:r>
              </w:p>
            </w:tc>
            <w:tc>
              <w:tcPr>
                <w:tcW w:w="800" w:type="pct"/>
              </w:tcPr>
              <w:p>
                <w:pPr>
                  <w:bidi/>
                  <w:spacing w:before="45" w:after="5" w:line="250" w:lineRule="auto"/>
                </w:pPr>
                <w:defaultTabStop w:val="720"/>
                <w:r>
                  <w:rPr>
                    <w:lang w:bidi="he-IL"/>
                    <w:rFonts w:hint="cs" w:cs="Times New Roman"/>
                    <w:szCs w:val="24"/>
                    <w:rtl/>
                  </w:rPr>
                  <w:t xml:space="preserve">סעיף 17ג</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הוראות מפקודת העיריות</w:t>
                </w:r>
              </w:p>
            </w:tc>
            <w:tc>
              <w:tcPr>
                <w:tcW w:w="800" w:type="pct"/>
              </w:tcPr>
              <w:p>
                <w:pPr>
                  <w:bidi/>
                  <w:spacing w:before="45" w:after="5" w:line="250" w:lineRule="auto"/>
                </w:pPr>
                <w:defaultTabStop w:val="720"/>
                <w:r>
                  <w:rPr>
                    <w:lang w:bidi="he-IL"/>
                    <w:rFonts w:hint="cs" w:cs="Times New Roman"/>
                    <w:szCs w:val="24"/>
                    <w:rtl/>
                  </w:rPr>
                  <w:t xml:space="preserve">סעיף 17ד</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א'1:אשכול רשויות מקומיות</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איגוד ערים מסוג אשכול רשויות מקומיות</w:t>
                </w:r>
              </w:p>
            </w:tc>
            <w:tc>
              <w:tcPr>
                <w:tcW w:w="800" w:type="pct"/>
              </w:tcPr>
              <w:p>
                <w:pPr>
                  <w:bidi/>
                  <w:spacing w:before="45" w:after="5" w:line="250" w:lineRule="auto"/>
                </w:pPr>
                <w:defaultTabStop w:val="720"/>
                <w:r>
                  <w:rPr>
                    <w:lang w:bidi="he-IL"/>
                    <w:rFonts w:hint="cs" w:cs="Times New Roman"/>
                    <w:szCs w:val="24"/>
                    <w:rtl/>
                  </w:rPr>
                  <w:t xml:space="preserve">סעיף 17ד1</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עריכת מכרז בעבור רשויות מקומיות</w:t>
                </w:r>
              </w:p>
            </w:tc>
            <w:tc>
              <w:tcPr>
                <w:tcW w:w="800" w:type="pct"/>
              </w:tcPr>
              <w:p>
                <w:pPr>
                  <w:bidi/>
                  <w:spacing w:before="45" w:after="5" w:line="250" w:lineRule="auto"/>
                </w:pPr>
                <w:defaultTabStop w:val="720"/>
                <w:r>
                  <w:rPr>
                    <w:lang w:bidi="he-IL"/>
                    <w:rFonts w:hint="cs" w:cs="Times New Roman"/>
                    <w:szCs w:val="24"/>
                    <w:rtl/>
                  </w:rPr>
                  <w:t xml:space="preserve">סעיף 17ד2</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ב':איגוד ערים למים או לביוב</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איגוד ערים למים או לביוב</w:t>
                </w:r>
              </w:p>
            </w:tc>
            <w:tc>
              <w:tcPr>
                <w:tcW w:w="800" w:type="pct"/>
              </w:tcPr>
              <w:p>
                <w:pPr>
                  <w:bidi/>
                  <w:spacing w:before="45" w:after="5" w:line="250" w:lineRule="auto"/>
                </w:pPr>
                <w:defaultTabStop w:val="720"/>
                <w:r>
                  <w:rPr>
                    <w:lang w:bidi="he-IL"/>
                    <w:rFonts w:hint="cs" w:cs="Times New Roman"/>
                    <w:szCs w:val="24"/>
                    <w:rtl/>
                  </w:rPr>
                  <w:t xml:space="preserve">סעיף 17ה</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התקנת מערכת ביוב ומתן שירותי ביוב</w:t>
                </w:r>
              </w:p>
            </w:tc>
            <w:tc>
              <w:tcPr>
                <w:tcW w:w="800" w:type="pct"/>
              </w:tcPr>
              <w:p>
                <w:pPr>
                  <w:bidi/>
                  <w:spacing w:before="45" w:after="5" w:line="250" w:lineRule="auto"/>
                </w:pPr>
                <w:defaultTabStop w:val="720"/>
                <w:r>
                  <w:rPr>
                    <w:lang w:bidi="he-IL"/>
                    <w:rFonts w:hint="cs" w:cs="Times New Roman"/>
                    <w:szCs w:val="24"/>
                    <w:rtl/>
                  </w:rPr>
                  <w:t xml:space="preserve">סעיף 17ו</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תכניות</w:t>
                </w:r>
              </w:p>
            </w:tc>
            <w:tc>
              <w:tcPr>
                <w:tcW w:w="800" w:type="pct"/>
              </w:tcPr>
              <w:p>
                <w:pPr>
                  <w:bidi/>
                  <w:spacing w:before="45" w:after="5" w:line="250" w:lineRule="auto"/>
                </w:pPr>
                <w:defaultTabStop w:val="720"/>
                <w:r>
                  <w:rPr>
                    <w:lang w:bidi="he-IL"/>
                    <w:rFonts w:hint="cs" w:cs="Times New Roman"/>
                    <w:szCs w:val="24"/>
                    <w:rtl/>
                  </w:rPr>
                  <w:t xml:space="preserve">סעיף 17ז</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ג':הוראות שונות</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18</w:t>
                </w:r>
              </w:p>
            </w:tc>
          </w:tr>
        </w:tbl>
        <w:br w:type="page"/>
      </w:r>
    </w:p>
    <w:p>
      <w:pPr>
        <w:bidi/>
        <w:spacing w:before="45" w:after="70" w:line="250" w:lineRule="auto"/>
        <w:jc w:val="center"/>
      </w:pPr>
      <w:defaultTabStop w:val="720"/>
      <w:r>
        <w:rPr>
          <w:lang w:bidi="he-IL"/>
          <w:rFonts w:hint="cs" w:cs="FrankRuehl"/>
          <w:szCs w:val="32"/>
          <w:rtl/>
        </w:rPr>
        <w:t xml:space="preserve">חוק איגודי ערים, תשט"ו-1955</w:t>
      </w:r>
    </w:p>
    <w:p>
      <w:pPr>
        <w:bidi/>
        <w:spacing w:before="70" w:after="5" w:line="250" w:lineRule="auto"/>
        <w:jc w:val="center"/>
      </w:pPr>
      <w:defaultTabStop w:val="720"/>
      <w:r>
        <w:rPr>
          <w:lang w:bidi="he-IL"/>
          <w:rFonts w:hint="cs" w:cs="FrankRuehl"/>
          <w:szCs w:val="26"/>
          <w:b/>
          <w:bCs/>
          <w:rtl/>
        </w:rPr>
        <w:t xml:space="preserve">פרק א':איגוד ערים</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מקומית" – עיריה או מועצה מקומית;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"איגוד ערים" – איגוד רשויות מקומיות סמוכות זו לזו אף אם אינן גובלות זו בזו;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"תחום האיגוד" – שטחן של כל הרשויות המקומיות המאוגדות באיגוד ערים, אלא אם הוגדר אחרת בצו המקים את האיגוד.</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איגוד ערים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שר הפנים, לאחר התייעצות עם שר האוצר, רשאי להקים, בצו שיפורסם ברשומות (בחוק זה – הצו המקים), איגוד ערים.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יעשה שר הפנים שימוש בסמכותו האמורה בסעיף קטן (א) אלא לאחר שציווה על עריכת חקירה בדבר הקמת איגוד ערים על ידי ועדה שלפחות אחד מחבריה אינו עובד המדינה (בסעיף זה – ועדת החקירה) ולאחר שעיין בתזכיר שהוגש על ידה; ועדת החקירה תיתן אפשרות לכל רשות מקומית הנוגעת בדבר, בין שהיא אמורה להיכלל ובין שאינה אמורה להיכלל בתחום האיגוד, להשמיע את טענותיה בפניה.</w:t>
      </w:r>
    </w:p>
    <w:p>
      <w:pPr>
        <w:bidi/>
        <w:spacing w:before="45" w:after="50" w:line="250" w:lineRule="auto"/>
        <w:ind/>
        <w:jc w:val="both"/>
        <w:tabs>
          <w:tab w:pos="720"/>
          <w:tab w:pos="1440"/>
          <w:tab w:pos="2160"/>
          <w:tab w:pos="2880"/>
          <w:tab w:pos="3600"/>
        </w:tabs>
        <w:ind w:start="720" w:hanging="720"/>
      </w:pPr>
      <w:defaultTabStop w:val="720"/>
      <w:bookmarkStart w:name="h4" w:id="4"/>
      <w:bookmarkEnd w:id="4"/>
      <w:r>
        <w:rPr>
          <w:lang w:bidi="he-IL"/>
          <w:rFonts w:hint="cs" w:cs="FrankRuehl"/>
          <w:szCs w:val="34"/>
          <w:rtl/>
        </w:rPr>
        <w:t xml:space="preserve">3.</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5" w:id="5"/>
      <w:bookmarkEnd w:id="5"/>
      <w:r>
        <w:rPr>
          <w:lang w:bidi="he-IL"/>
          <w:rFonts w:hint="cs" w:cs="FrankRuehl"/>
          <w:szCs w:val="34"/>
          <w:rtl/>
        </w:rPr>
        <w:t xml:space="preserve">4.</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6" w:id="6"/>
      <w:bookmarkEnd w:id="6"/>
      <w:r>
        <w:rPr>
          <w:lang w:bidi="he-IL"/>
          <w:rFonts w:hint="cs" w:cs="FrankRuehl"/>
          <w:szCs w:val="34"/>
          <w:rtl/>
        </w:rPr>
        <w:t xml:space="preserve">5.</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איגוד ערים – תאגיד</w:t>
                </w:r>
              </w:p>
            </w:txbxContent>
          </v:textbox>
        </v:rect>
      </w:pict>
      <w:r>
        <w:rPr>
          <w:lang w:bidi="he-IL"/>
          <w:rFonts w:hint="cs" w:cs="FrankRuehl"/>
          <w:szCs w:val="34"/>
          <w:rtl/>
        </w:rPr>
        <w:t xml:space="preserve">6.</w:t>
      </w:r>
      <w:r>
        <w:rPr>
          <w:lang w:bidi="he-IL"/>
          <w:rFonts w:hint="cs" w:cs="FrankRuehl"/>
          <w:szCs w:val="26"/>
          <w:rtl/>
        </w:rPr>
        <w:tab/>
        <w:t xml:space="preserve">איגוד ערים הוא תאגיד ובמסגרת סמכויותיו הוא רשאי להתקשר בחוזים, לרכוש נכסים, להחזיק בהם ולהעבירם, לתבוע ולהיתבע ולעשות כל פעולה הדרושה למילוי תפקידיו.</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איגוד ערים – גוף מבוקר</w:t>
                </w:r>
              </w:p>
            </w:txbxContent>
          </v:textbox>
        </v:rect>
      </w:pict>
      <w:r>
        <w:rPr>
          <w:lang w:bidi="he-IL"/>
          <w:rFonts w:hint="cs" w:cs="FrankRuehl"/>
          <w:szCs w:val="34"/>
          <w:rtl/>
        </w:rPr>
        <w:t xml:space="preserve">7.</w:t>
      </w:r>
      <w:r>
        <w:rPr>
          <w:lang w:bidi="he-IL"/>
          <w:rFonts w:hint="cs" w:cs="FrankRuehl"/>
          <w:szCs w:val="26"/>
          <w:rtl/>
        </w:rPr>
        <w:tab/>
        <w:t xml:space="preserve">איגוד ערים יהיה גוף מבוקר כמשמעותו בסעיף 7 לחוק מבקר המדינה, תש"ט-1949.</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מועצת איגוד ערים</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איגוד ערים יתנהל על ידי מועצת איגוד ערים (להלן –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רשות מקומית שבתחום איגוד ערים זכאית להיות מיוצגת במועצה על-ידי נציג אחד לפחות; משנקבעו רוב חברי המועצה, רשאית היא לפעול.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הרשות המקומית תמנה לפחות מחצית מבין נציגיה במועצה מקרב עובדי הרשות המקומית; ואולם רשאי שר הפנים להתיר לרשות מקומית הזכאית להיות מיוצגת במועצה על ידי נציג אחד בלבד, למנות את נציגה במועצה שלא מקרב עובדי הרשות המקומית, ובלבד שלפחות מחצית מחברי המועצה יהיו מקרב עובדי הרשויות המקומיות שבתחום איגוד הערים.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הסמכות למנות נציג של רשות מקומית למועצת האיגוד היא בידי המועצה של אותה רשות מקומית; היא חייבת למנות נציג תוך ששה חדשים לאחר שנבחרה, ורשאית בכל עת, על אף האמור בצו המקים, לבטל מינויו של נציגה ולמנות אחר במקומו, וכל עוד לא נתמנה נציג חדש יוסיף הנציג הקודם לכהן בתפקידו.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חובת האמון שחבים חברי המועצה לאיגוד הערים, תהיה עדיפה על חובתם כלפי הרשות המקומית שמינתה אותם.</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מנהל כללי</w:t>
                </w:r>
              </w:p>
            </w:txbxContent>
          </v:textbox>
        </v:rect>
      </w:pict>
      <w:r>
        <w:rPr>
          <w:lang w:bidi="he-IL"/>
          <w:rFonts w:hint="cs" w:cs="FrankRuehl"/>
          <w:szCs w:val="34"/>
          <w:rtl/>
        </w:rPr>
        <w:t xml:space="preserve">8א.</w:t>
        <w:tab/>
      </w:r>
      <w:r>
        <w:rPr>
          <w:lang w:bidi="he-IL"/>
          <w:rFonts w:hint="cs" w:cs="FrankRuehl"/>
          <w:szCs w:val="26"/>
          <w:rtl/>
        </w:rPr>
        <w:t xml:space="preserve">(א)</w:t>
      </w:r>
      <w:r>
        <w:rPr>
          <w:lang w:bidi="he-IL"/>
          <w:rFonts w:hint="cs" w:cs="FrankRuehl"/>
          <w:szCs w:val="26"/>
          <w:rtl/>
        </w:rPr>
        <w:tab/>
        <w:t xml:space="preserve">המועצה תמנה מנהל כללי לאיגוד ערים.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הפנים רשאי לפטור איגוד ערים מחובת מינוי מנהל כללי אם ראה שבנסיבות הענין אין הצדקה לעשות כן.</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איגוד ערים</w:t>
                </w:r>
              </w:p>
            </w:txbxContent>
          </v:textbox>
        </v:rect>
      </w:pict>
      <w:r>
        <w:rPr>
          <w:lang w:bidi="he-IL"/>
          <w:rFonts w:hint="cs" w:cs="FrankRuehl"/>
          <w:szCs w:val="34"/>
          <w:rtl/>
        </w:rPr>
        <w:t xml:space="preserve">9.</w:t>
      </w:r>
      <w:r>
        <w:rPr>
          <w:lang w:bidi="he-IL"/>
          <w:rFonts w:hint="cs" w:cs="FrankRuehl"/>
          <w:szCs w:val="26"/>
          <w:rtl/>
        </w:rPr>
        <w:tab/>
        <w:t xml:space="preserve">אין להעניק לאיגוד ערים אלא סמכויות ותפקידים שהוענקו, או שמותר להעניק, על פי כל חיקוק לרשות מקומית שבתחומו, ובלבד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שלא תוענק לאיגוד ערים הסמכות להטיל ארנונות;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ששר הפנים לא יעניק לאיגוד ערים סמכות או תפקיד שהוענק לרשות מקומית על פי חיקוק שביצועו בידי שר אחר, אלא לאחר התיעצות באותו 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שלא תוענק לאיגוד ערים הסמכות לבצע בתחום ישוב שיתופי, פעולות המנוגדות לתקנון אותו ישוב; בפסקה זו, ישוב שיתופי – ישוב הנמצא בתחום שיפוטה של מועצה אזורית ורוב תושביו, שהם בני 18 שנה ומעלה, מואגדים באגודה שיתופית להתישבות.</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ייחוד סמכויות ותפקידים</w:t>
                </w:r>
              </w:p>
            </w:txbxContent>
          </v:textbox>
        </v:rect>
      </w:pict>
      <w:r>
        <w:rPr>
          <w:lang w:bidi="he-IL"/>
          <w:rFonts w:hint="cs" w:cs="FrankRuehl"/>
          <w:szCs w:val="34"/>
          <w:rtl/>
        </w:rPr>
        <w:t xml:space="preserve">10.</w:t>
      </w:r>
      <w:r>
        <w:rPr>
          <w:lang w:bidi="he-IL"/>
          <w:rFonts w:hint="cs" w:cs="FrankRuehl"/>
          <w:szCs w:val="26"/>
          <w:rtl/>
        </w:rPr>
        <w:tab/>
        <w:t xml:space="preserve">לאיגוד ערים יהיו כל הסמכויות והתפקידים של כל אחת מהרשויות המקומיות שבתחומו בענינים הקשורים לסמכויותיו ולתפקידיו, וכל אחת מהרשויות המקומיות האמורות תהיה משוחררת מחובותיה לגבי כל אחד מהענינים האמורים ולא יהיו נתונות לה הסמכויות והתפקידים שהיו בידה, על פי כל דין, בענינים אלה, אלא אם כן נקבע במפורש אחרת בצו המקים.</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אומדן ותקציבים</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לא יחליט איגוד ערים על ביצוע מפעל מסויים אלא אם ערך לפני כן אומדן הכנסותיו והוצאותיו של המפעל והאומדן אושר על ידי שר הפנים.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איגוד ערים יערוך בכל שנה, במועד ובצורה שייקבעו בתקנות, הצעת תקציב המראה אומדן הכנסותיו והוצאותיו; הצעת התקציב תוגש לשר הפנים לאישור.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הפנים רשאי לסרב לאשר כל פרט שבהצעת התקציב; אולם לא יסרב שר הפנים לאשר פרט כאמור לפני שניתנה לאיגוד ערים הזדמנות להשמיע דברו.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התקציב שאושר כאמור יהיה תקציב האיגוד לאותה שנה ולא ישולם סכום מכספי האיגוד אלא על פי התקציב הזה ולא יתחייב האיגוד בשום התחייבות אלא לפיו או לפי החלטת האיגוד שנתקבלה כדין ואושרה על ידי שר הפנים.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הוראות סימן ב' בפרק 11 לפקודת העיריות יחולו על איגוד ערים,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התקשרות בין איגוד ערים לרשות מקומית</w:t>
                </w:r>
              </w:p>
            </w:txbxContent>
          </v:textbox>
        </v:rect>
      </w:pict>
      <w:r>
        <w:rPr>
          <w:lang w:bidi="he-IL"/>
          <w:rFonts w:hint="cs" w:cs="FrankRuehl"/>
          <w:szCs w:val="34"/>
          <w:rtl/>
        </w:rPr>
        <w:t xml:space="preserve">11א.</w:t>
        <w:tab/>
      </w:r>
      <w:r>
        <w:rPr>
          <w:lang w:bidi="he-IL"/>
          <w:rFonts w:hint="cs" w:cs="FrankRuehl"/>
          <w:szCs w:val="26"/>
          <w:rtl/>
        </w:rPr>
        <w:t xml:space="preserve">(א)</w:t>
      </w:r>
      <w:r>
        <w:rPr>
          <w:lang w:bidi="he-IL"/>
          <w:rFonts w:hint="cs" w:cs="FrankRuehl"/>
          <w:szCs w:val="26"/>
          <w:rtl/>
        </w:rPr>
        <w:tab/>
        <w:t xml:space="preserve">התקשרות בחוזה למכירת טובין מרשות מקומית החברה באיגוד ערים לאיגוד, לצורך מילוי תפקידיו, אינה טעונה מכרז, ובלבד שמועצת האיגוד ברוב חבריה החליטה על כך, לאחר שהונחה לפניה חוות דעת גזבר האיגוד שלפיה התמורה המשולמת בעבור הטובין אינה חורגת מהתמורה המקובלת לטובין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הפנים רשאי לקבוע כללים לעניין סעיף קטן (א).</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הטלת מכסות על רשויות מקומיות</w:t>
                </w:r>
              </w:p>
            </w:txbxContent>
          </v:textbox>
        </v:rect>
      </w:pict>
      <w:r>
        <w:rPr>
          <w:lang w:bidi="he-IL"/>
          <w:rFonts w:hint="cs" w:cs="FrankRuehl"/>
          <w:szCs w:val="34"/>
          <w:rtl/>
        </w:rPr>
        <w:t xml:space="preserve">12.</w:t>
      </w:r>
      <w:r>
        <w:rPr>
          <w:lang w:bidi="he-IL"/>
          <w:rFonts w:hint="cs" w:cs="FrankRuehl"/>
          <w:szCs w:val="26"/>
          <w:rtl/>
        </w:rPr>
        <w:tab/>
        <w:t xml:space="preserve">בכפוף לכל הגבלה שבצו המקים, ובאישור שר הפנים, רשאי איגוד ערים להטיל על הרשויות המקומיות שבתחומו תשלומי כסף למימון תקציבו, לפי מכסות שיקבע.</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הלוואות</w:t>
                </w:r>
              </w:p>
            </w:txbxContent>
          </v:textbox>
        </v:rect>
      </w:pict>
      <w:r>
        <w:rPr>
          <w:lang w:bidi="he-IL"/>
          <w:rFonts w:hint="cs" w:cs="FrankRuehl"/>
          <w:szCs w:val="34"/>
          <w:rtl/>
        </w:rPr>
        <w:t xml:space="preserve">13.</w:t>
      </w:r>
      <w:r>
        <w:rPr>
          <w:lang w:bidi="he-IL"/>
          <w:rFonts w:hint="cs" w:cs="FrankRuehl"/>
          <w:szCs w:val="26"/>
          <w:rtl/>
        </w:rPr>
        <w:tab/>
        <w:t xml:space="preserve">בכפוף לכל הגבלה שבצו המקים, ובאישור שר הפנים, רשאי איגוד ערים ללוות כספים לביצוע תפקידיו ולשעבד לשם כך את הכנסותיו ואת נכסיו, כולם או מקצתם; מטרת ההלוואה תפורש בהחלטת האיגוד ובאישור שר הפנים.</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חוקי עזר</w:t>
                </w:r>
              </w:p>
            </w:txbxContent>
          </v:textbox>
        </v:rect>
      </w:pict>
      <w:r>
        <w:rPr>
          <w:lang w:bidi="he-IL"/>
          <w:rFonts w:hint="cs" w:cs="FrankRuehl"/>
          <w:szCs w:val="34"/>
          <w:rtl/>
        </w:rPr>
        <w:t xml:space="preserve">14.</w:t>
      </w:r>
      <w:r>
        <w:rPr>
          <w:lang w:bidi="he-IL"/>
          <w:rFonts w:hint="cs" w:cs="FrankRuehl"/>
          <w:szCs w:val="26"/>
          <w:rtl/>
        </w:rPr>
        <w:tab/>
        <w:t xml:space="preserve">איגוד ערים רשאי, באישור שר הפנים, להתקין חוקי עזר לביצוע תפקידיו של האיגוד או לשימוש בסמכויותיו; הוראות סעיף 99 לפקודת העיריות, 1934, יחולו, בשינויים המחוייבים לפי הענין, על חוקי עזר כאמור, ובלבד שלא יטיל האיגוד אגרות והיטלים אלא לכיסוי הוצאות הקמתו של מפעל שהקמתו היא מתפקידי האיגוד, או לשם החזקתו של מפעל כאמור כל עוד ובמידה שהאיגוד מחזיק בו.</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דברים שיש לפרשם בצו המקים</w:t>
                </w:r>
              </w:p>
            </w:txbxContent>
          </v:textbox>
        </v:rect>
      </w:pict>
      <w:r>
        <w:rPr>
          <w:lang w:bidi="he-IL"/>
          <w:rFonts w:hint="cs" w:cs="FrankRuehl"/>
          <w:szCs w:val="34"/>
          <w:rtl/>
        </w:rPr>
        <w:t xml:space="preserve">15.</w:t>
      </w:r>
      <w:r>
        <w:rPr>
          <w:lang w:bidi="he-IL"/>
          <w:rFonts w:hint="cs" w:cs="FrankRuehl"/>
          <w:szCs w:val="26"/>
          <w:rtl/>
        </w:rPr>
        <w:tab/>
        <w:t xml:space="preserve">הצו המקים יפרש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הרשויות המקומיות המתאגדות;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תחום האיגוד;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תפקידיו וסמכויותיו של האיגוד;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מספר נציגיה של כל רשות מקומית במועצה;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תקופת כהונתה של המועצה ותקופת כהונתם של חבריה;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תפקידיהם וסמכויותיהם של המועצה וחבריה ושל מוסדות האיגוד האחרים;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דרכי הקניית רכוש והטלת חוב, במקום שמילוי תפקידיו של האיגוד מחייב, לרגל הקמתו, להקנות לאיגוד רכוש של רשות מקומית מתאגדת או להטיל עליו חוב מחובותיה, או גם זה וגם זה.</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דברים שמותר לפרשם בצו המקים</w:t>
                </w:r>
              </w:p>
            </w:txbxContent>
          </v:textbox>
        </v:rect>
      </w:pict>
      <w:r>
        <w:rPr>
          <w:lang w:bidi="he-IL"/>
          <w:rFonts w:hint="cs" w:cs="FrankRuehl"/>
          <w:szCs w:val="34"/>
          <w:rtl/>
        </w:rPr>
        <w:t xml:space="preserve">16.</w:t>
      </w:r>
      <w:r>
        <w:rPr>
          <w:lang w:bidi="he-IL"/>
          <w:rFonts w:hint="cs" w:cs="FrankRuehl"/>
          <w:szCs w:val="26"/>
          <w:rtl/>
        </w:rPr>
        <w:tab/>
        <w:t xml:space="preserve">רשאי שר הפנים לקבוע בצו המקים הוראות בדבר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תקופת קיומו של איגוד הערים;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דרכי הקמתן של ועדות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דרכי הבירור של חילוקי דעות בין הרשויות המקומיות לבין עצמן, וביניהן לבין האיגוד;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דרכי צירופה של רשות מקומית לאיגוד ופרישתה ממנו, ובקשר לכך – הקניית רכוש, הטלת חובות, תיאום חשבונות וחלוקת חובות בין הרשויות הנוגעות בדבר לבין עצמן, וביניהן לבין האיגוד, הכל בכפוף להוראות סעיף 17, ובמידה שלא נקבעו הוראות כאמור בתקנות;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דרכי מינוים של עובדי האיגוד ופיטוריהם, תנאי עבודתם, תפקידיהם וסמכויותיהם;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שאר הוראות הנראות לו דרושות לביצוע הצו וכל ענין הנדון בו.</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הצו המקים</w:t>
                </w:r>
              </w:p>
            </w:txbxContent>
          </v:textbox>
        </v:rect>
      </w:pict>
      <w:r>
        <w:rPr>
          <w:lang w:bidi="he-IL"/>
          <w:rFonts w:hint="cs" w:cs="FrankRuehl"/>
          <w:szCs w:val="34"/>
          <w:rtl/>
        </w:rPr>
        <w:t xml:space="preserve">16א.</w:t>
      </w:r>
      <w:r>
        <w:rPr>
          <w:lang w:bidi="he-IL"/>
          <w:rFonts w:hint="cs" w:cs="FrankRuehl"/>
          <w:szCs w:val="26"/>
          <w:rtl/>
        </w:rPr>
        <w:tab/>
        <w:t xml:space="preserve">שר הפנים רשאי, בצו, לתקן את הוראות הצו המקים בכל ענין המפורט בסעיפים 15 ו-16, לאחר שניתנה לרשויות המקומיות שבתחום האיגוד או לרשויות המקומיות המיועדות לצירוף לאותו איגוד או לפרישה ממנו, לפי הענין, הזדמנות להשמיע את טענותיהן; ואולם לא יפעיל שר הפנים את סמכותו לפי סעיף זה בענין מהענינים המפורטים בסעיף 15(1) עד (3) ובסעיף 16(1), אלא לאחר התייעצות עם שר האוצר.</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אחידות</w:t>
                </w:r>
              </w:p>
            </w:txbxContent>
          </v:textbox>
        </v:rect>
      </w:pict>
      <w:r>
        <w:rPr>
          <w:lang w:bidi="he-IL"/>
          <w:rFonts w:hint="cs" w:cs="FrankRuehl"/>
          <w:szCs w:val="34"/>
          <w:rtl/>
        </w:rPr>
        <w:t xml:space="preserve">16ב.</w:t>
        <w:tab/>
      </w:r>
      <w:r>
        <w:rPr>
          <w:lang w:bidi="he-IL"/>
          <w:rFonts w:hint="cs" w:cs="FrankRuehl"/>
          <w:szCs w:val="26"/>
          <w:rtl/>
        </w:rPr>
        <w:t xml:space="preserve">(א)</w:t>
      </w:r>
      <w:r>
        <w:rPr>
          <w:lang w:bidi="he-IL"/>
          <w:rFonts w:hint="cs" w:cs="FrankRuehl"/>
          <w:szCs w:val="26"/>
          <w:rtl/>
        </w:rPr>
        <w:tab/>
        <w:t xml:space="preserve">שר הפנים רשאי לקבוע בצו הוראות לענין סעיף 15(5) עד (7) ולענין סעיף 16 שיחולו על כל איגוד ערים שיוקם לאחר התקנתן אם אין הוראה אחרת בצו המקים.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הפנים רשאי להחיל את ההוראות שנקבעו בצו לפי סעיף קטן (א) כולן או חלקן אף על איגוד ערים שהיה קיים ביום התקנתן, ובלבד שניתנה הודעה על כך שלושים יום מראש לרשויות המקומיות שבתחום האיגוד וניתנה להן הזדמנות להשמיע את טענותיהן.</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ועדת חקירה</w:t>
                </w:r>
              </w:p>
            </w:txbxContent>
          </v:textbox>
        </v:rect>
      </w:pict>
      <w:r>
        <w:rPr>
          <w:lang w:bidi="he-IL"/>
          <w:rFonts w:hint="cs" w:cs="FrankRuehl"/>
          <w:szCs w:val="34"/>
          <w:rtl/>
        </w:rPr>
        <w:t xml:space="preserve">16ג.</w:t>
        <w:tab/>
      </w:r>
      <w:r>
        <w:rPr>
          <w:lang w:bidi="he-IL"/>
          <w:rFonts w:hint="cs" w:cs="FrankRuehl"/>
          <w:szCs w:val="26"/>
          <w:rtl/>
        </w:rPr>
        <w:t xml:space="preserve">(א)</w:t>
      </w:r>
      <w:r>
        <w:rPr>
          <w:lang w:bidi="he-IL"/>
          <w:rFonts w:hint="cs" w:cs="FrankRuehl"/>
          <w:szCs w:val="26"/>
          <w:rtl/>
        </w:rPr>
        <w:tab/>
        <w:t xml:space="preserve">שר הפנים רשאי למנות ועדת חקירה לבדיקת הצורך במינוי ועדה למילוי תפקידי מועצת איגוד ערים (להלן – ועדה קרואה), אם לדעתו קיים חשש שאיגוד הערים אינו ממלא או עשוי שלא למלא את תפקידיו כראוי.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מספר חברי ועדת החקירה לא יפחת משלושה ולא יעלה על חמישה, ובלבד שבין חבריה יהיו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 שאינו עובד המדינה, והוא יהיה היושב ראש, ואם מונה יותר מחבר אחד לפי פסקה זו, ימנה שר הפנים מביניהם את היושב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היועץ המשפטי של משרד הפנים או נציגו;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אדם בעל ניסיון או מומחיות בתחומים הנוגעים לניהולו או בתחום פעילותו העיקרית של איגוד הערים.</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 ועדת החקירה</w:t>
                </w:r>
              </w:p>
            </w:txbxContent>
          </v:textbox>
        </v:rect>
      </w:pict>
      <w:r>
        <w:rPr>
          <w:lang w:bidi="he-IL"/>
          <w:rFonts w:hint="cs" w:cs="FrankRuehl"/>
          <w:szCs w:val="34"/>
          <w:rtl/>
        </w:rPr>
        <w:t xml:space="preserve">16ד.</w:t>
      </w:r>
      <w:r>
        <w:rPr>
          <w:lang w:bidi="he-IL"/>
          <w:rFonts w:hint="cs" w:cs="FrankRuehl"/>
          <w:szCs w:val="26"/>
          <w:rtl/>
        </w:rPr>
        <w:tab/>
        <w:t xml:space="preserve">דוח ועדת החקירה יתייחס בין השאר לעניינים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המצב הכספי והתפקודי של איגוד הערים והגורמים שהביאו לדעת הוועדה למצב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אופן ניהול איגוד הערים בידי יושב ראש המועצה, המועצה וממלאי תפקידים בו בשנתיים שקדמו למינויה;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האמצעים שלדעת הוועדה ראוי לנקוט כדי שאיגוד הערים יוכל למלא את תפקידיו כנדרש, ולפעול על פי הוראות הדין וסדרי מנהל תקינים.</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ועדה קרואה</w:t>
                </w:r>
              </w:p>
            </w:txbxContent>
          </v:textbox>
        </v:rect>
      </w:pict>
      <w:r>
        <w:rPr>
          <w:lang w:bidi="he-IL"/>
          <w:rFonts w:hint="cs" w:cs="FrankRuehl"/>
          <w:szCs w:val="34"/>
          <w:rtl/>
        </w:rPr>
        <w:t xml:space="preserve">16ה.</w:t>
      </w:r>
      <w:r>
        <w:rPr>
          <w:lang w:bidi="he-IL"/>
          <w:rFonts w:hint="cs" w:cs="FrankRuehl"/>
          <w:szCs w:val="26"/>
          <w:rtl/>
        </w:rPr>
        <w:tab/>
        <w:t xml:space="preserve">ראה שר הפנים, על פי המלצת ועדת החקירה, שאיגוד הערים אינו ממלא או עשוי שלא למלא את תפקידיו כראוי מחמת אופן ניהולו על ידי יושב ראש המועצה או המועצה, רשאי הוא להורות על פיזור המועצה ולמנות ועדה קרואה.</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ועדה קרואה</w:t>
                </w:r>
              </w:p>
            </w:txbxContent>
          </v:textbox>
        </v:rect>
      </w:pict>
      <w:r>
        <w:rPr>
          <w:lang w:bidi="he-IL"/>
          <w:rFonts w:hint="cs" w:cs="FrankRuehl"/>
          <w:szCs w:val="34"/>
          <w:rtl/>
        </w:rPr>
        <w:t xml:space="preserve">16ו.</w:t>
        <w:tab/>
      </w:r>
      <w:r>
        <w:rPr>
          <w:lang w:bidi="he-IL"/>
          <w:rFonts w:hint="cs" w:cs="FrankRuehl"/>
          <w:szCs w:val="26"/>
          <w:rtl/>
        </w:rPr>
        <w:t xml:space="preserve">(א)</w:t>
      </w:r>
      <w:r>
        <w:rPr>
          <w:lang w:bidi="he-IL"/>
          <w:rFonts w:hint="cs" w:cs="FrankRuehl"/>
          <w:szCs w:val="26"/>
          <w:rtl/>
        </w:rPr>
        <w:tab/>
        <w:t xml:space="preserve">הוועדה הקרואה תהיה בת חמישה חברים ובלבד שבין חבריה יהיו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יושב ראש שימנה שר הפנים;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לפחות שני נציגים שאינם עובדי המדינה בעלי ניסיון או מומחיות בתחומים הנוגעים לניהולו או בתחום פעילותו העיקרית של איגוד הערים.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כשיר לכהן כחבר הוועדה הקרואה מי שנתקיימו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בעל תואר מוכר כמשמעותו בחוק המועצה להשכלה גבוהה, התשי"ח-1958 (להלן – תואר אקדמי);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בעל ניסיון של שבע שנים בתחומים הנוגעים לניהולו או בתחום פעילותו העיקרית של איגוד הערים.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(ב), רשאי שר הפנים למנות לוועדה הקרואה אדם אף אם לא מתקיים בו התנאי האמור בסעיף קטן (ב)(1), ובלבד שהוא בעל ניסיון של עשר שנים בתחום כאמור בסעיף קטן (ב)(2).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ימנה שר הפנים לוועדה הקרואה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 שהורשע בעבירה שמפאת מהותה, חומרתה או נסיבותיה אין הוא ראוי לשמש חבר הוועדה הקרואה או מי שתלוי ועומד נגדו כתב אישום בעבירה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שיש ניגוד עניינים בין עיסוקו ובין חברותו בוועדה הקרואה.</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ועדה קרואה</w:t>
                </w:r>
              </w:p>
            </w:txbxContent>
          </v:textbox>
        </v:rect>
      </w:pict>
      <w:r>
        <w:rPr>
          <w:lang w:bidi="he-IL"/>
          <w:rFonts w:hint="cs" w:cs="FrankRuehl"/>
          <w:szCs w:val="34"/>
          <w:rtl/>
        </w:rPr>
        <w:t xml:space="preserve">16ז.</w:t>
      </w:r>
      <w:r>
        <w:rPr>
          <w:lang w:bidi="he-IL"/>
          <w:rFonts w:hint="cs" w:cs="FrankRuehl"/>
          <w:szCs w:val="26"/>
          <w:rtl/>
        </w:rPr>
        <w:tab/>
        <w:t xml:space="preserve">לוועדה הקרואה וליושב ראש הוועדה יהיו כל הסמכויות והתפקידים הנתונים למועצת איגוד הערים או ליושב ראש המועצה לפי כל דין.</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 ליושב ראש הוועדה הקרואה</w:t>
                </w:r>
              </w:p>
            </w:txbxContent>
          </v:textbox>
        </v:rect>
      </w:pict>
      <w:r>
        <w:rPr>
          <w:lang w:bidi="he-IL"/>
          <w:rFonts w:hint="cs" w:cs="FrankRuehl"/>
          <w:szCs w:val="34"/>
          <w:rtl/>
        </w:rPr>
        <w:t xml:space="preserve">16ח.</w:t>
      </w:r>
      <w:r>
        <w:rPr>
          <w:lang w:bidi="he-IL"/>
          <w:rFonts w:hint="cs" w:cs="FrankRuehl"/>
          <w:szCs w:val="26"/>
          <w:rtl/>
        </w:rPr>
        <w:tab/>
        <w:t xml:space="preserve">יושב ראש הוועדה הקרואה זכאי לקבל גמול בעבור השתתפותו בישיבות הוועדה הקרואה מקופת איגוד הערים, באישור שר הפנים ובשיעור שיקבע.</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כהונה של ועדה קרואה</w:t>
                </w:r>
              </w:p>
            </w:txbxContent>
          </v:textbox>
        </v:rect>
      </w:pict>
      <w:r>
        <w:rPr>
          <w:lang w:bidi="he-IL"/>
          <w:rFonts w:hint="cs" w:cs="FrankRuehl"/>
          <w:szCs w:val="34"/>
          <w:rtl/>
        </w:rPr>
        <w:t xml:space="preserve">16ט.</w:t>
      </w:r>
      <w:r>
        <w:rPr>
          <w:lang w:bidi="he-IL"/>
          <w:rFonts w:hint="cs" w:cs="FrankRuehl"/>
          <w:szCs w:val="26"/>
          <w:rtl/>
        </w:rPr>
        <w:tab/>
        <w:t xml:space="preserve">תקופת הכהונה של ועדה קרואה תהא ארבע שנים; שר הפנים, רשאי, בהתייעצות עם ועדת הפנים והגנת הסביבה של הכנסת, לקצר את תקופת הכהונה בתקופה שלא תעלה על שנתיים, מטעמים מיוחדים או להאריכה בתקופה שלא תעלה על שנה אחת.</w:t>
      </w:r>
    </w:p>
    <w:p>
      <w:pPr>
        <w:bidi/>
        <w:spacing w:before="45" w:after="50" w:line="250" w:lineRule="auto"/>
        <w:ind/>
        <w:jc w:val="both"/>
        <w:tabs>
          <w:tab w:pos="720"/>
          <w:tab w:pos="1440"/>
          <w:tab w:pos="2160"/>
          <w:tab w:pos="2880"/>
          <w:tab w:pos="3600"/>
        </w:tabs>
        <w:ind w:start="720" w:hanging="720"/>
      </w:pPr>
      <w:defaultTabStop w:val="720"/>
      <w:bookmarkStart w:name="h29" w:id="29"/>
      <w:bookmarkEnd w:id="29"/>
      <w:r>
        <w:rPr>
          <w:lang w:bidi="he-IL"/>
          <w:rFonts w:hint="cs" w:cs="FrankRuehl"/>
          <w:szCs w:val="34"/>
          <w:rtl/>
        </w:rPr>
        <w:t xml:space="preserve">17.</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פירוק איגוד ערים</w:t>
                </w:r>
              </w:p>
            </w:txbxContent>
          </v:textbox>
        </v:rect>
      </w:pict>
      <w:r>
        <w:rPr>
          <w:lang w:bidi="he-IL"/>
          <w:rFonts w:hint="cs" w:cs="FrankRuehl"/>
          <w:szCs w:val="34"/>
          <w:rtl/>
        </w:rPr>
        <w:t xml:space="preserve">17א.</w:t>
        <w:tab/>
      </w:r>
      <w:r>
        <w:rPr>
          <w:lang w:bidi="he-IL"/>
          <w:rFonts w:hint="cs" w:cs="FrankRuehl"/>
          <w:szCs w:val="26"/>
          <w:rtl/>
        </w:rPr>
        <w:t xml:space="preserve">(א)</w:t>
      </w:r>
      <w:r>
        <w:rPr>
          <w:lang w:bidi="he-IL"/>
          <w:rFonts w:hint="cs" w:cs="FrankRuehl"/>
          <w:szCs w:val="26"/>
          <w:rtl/>
        </w:rPr>
        <w:tab/>
        <w:t xml:space="preserve">שר הפנים רשאי, בצו, לפרק איגוד ערים אם החליטה על כך מועצת האיגוד ברוב חבריה או אם ועדת חקירה, שמינה שר הפנים בהתייעצות עם שר המשפטים, המליצה על הפירוק, לאחר שמצאה שאין האיגוד ממלא את תפקידיו כראוי.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רוב חבריה של ועדת חקירה כאמור יהיו משאינם עובדי המדינה ולא יהיה בה חבר מועצת האיגוד או חבר במועצה של רשות מקומית המאוגדת באיגוד.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יוציא שר הפנים צו לפירוק איגוד ערים לפי סעיף קטן (א) לגבי איגוד ערים שהוקם לאחר יום ז' בטבת התשס"ד (1 בינואר 2004) או שהרכב הרשויות המקומיות שבתחומו השתנה לאחר המועד האמור, אלא בהתייעצות עם שר האוצר.</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בקשר עם פירוק</w:t>
                </w:r>
              </w:p>
            </w:txbxContent>
          </v:textbox>
        </v:rect>
      </w:pict>
      <w:r>
        <w:rPr>
          <w:lang w:bidi="he-IL"/>
          <w:rFonts w:hint="cs" w:cs="FrankRuehl"/>
          <w:szCs w:val="34"/>
          <w:rtl/>
        </w:rPr>
        <w:t xml:space="preserve">17ב.</w:t>
        <w:tab/>
      </w:r>
      <w:r>
        <w:rPr>
          <w:lang w:bidi="he-IL"/>
          <w:rFonts w:hint="cs" w:cs="FrankRuehl"/>
          <w:szCs w:val="26"/>
          <w:rtl/>
        </w:rPr>
        <w:t xml:space="preserve">(א)</w:t>
      </w:r>
      <w:r>
        <w:rPr>
          <w:lang w:bidi="he-IL"/>
          <w:rFonts w:hint="cs" w:cs="FrankRuehl"/>
          <w:szCs w:val="26"/>
          <w:rtl/>
        </w:rPr>
        <w:tab/>
        <w:t xml:space="preserve">בצו המפרק איגוד ערים רשאי שר הפנים לכלול הוראות בדבר הקניית רכוש האיגוד לרשויות מקומיות שבתחומו ובדבר תיאום חשבונות וחלוקת חובות וזכויות ביניהן, וכן שאר הוראות הנראות לו דרושות לביצוע הפירוק.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בצו המפרק איגוד ערים רשאי שר הפנים גם למנות אדם או רשות לבצע את הפירוק; עשה כן, יקבע בצו את דרכי הערעור על החלטת המפרק.</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איגוד ערים המסרב למלא חובה מסוימת</w:t>
                </w:r>
              </w:p>
            </w:txbxContent>
          </v:textbox>
        </v:rect>
      </w:pict>
      <w:r>
        <w:rPr>
          <w:lang w:bidi="he-IL"/>
          <w:rFonts w:hint="cs" w:cs="FrankRuehl"/>
          <w:szCs w:val="34"/>
          <w:rtl/>
        </w:rPr>
        <w:t xml:space="preserve">17ב1.</w:t>
        <w:tab/>
      </w:r>
      <w:r>
        <w:rPr>
          <w:lang w:bidi="he-IL"/>
          <w:rFonts w:hint="cs" w:cs="FrankRuehl"/>
          <w:szCs w:val="26"/>
          <w:rtl/>
        </w:rPr>
        <w:t xml:space="preserve">(א)</w:t>
      </w:r>
      <w:r>
        <w:rPr>
          <w:lang w:bidi="he-IL"/>
          <w:rFonts w:hint="cs" w:cs="FrankRuehl"/>
          <w:szCs w:val="26"/>
          <w:rtl/>
        </w:rPr>
        <w:tab/>
        <w:t xml:space="preserve">סבר שר הפנים שאיגוד ערים נמנע ממילוי חובה או מביצוע עבודה שהוטלו עליו או שהוענקו לו לפי הוראות חוק זה, לרבות הגשת הצעת תקציב לאישור שר הפנים לפי הוראות סעיף 11, או לפי כל דין אחר, רשאי הוא לדרוש מאיגוד הערים, בצו, למלא את החובה או לבצע את העבודה, בתוך התקופה שיקבע בצו.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מילא איגוד הערים אחר הוראות הצו כאמור בסעיף קטן (א) בתוך התקופה הקבועה בו, רשאי השר למנות אדם מתאים למילוי החובה או לביצוע העבודה; מינה השר אדם מתאים, רשאי הוא לקבוע את השכר שישולם לו ולהורות שהשכר והוצאות העבודה ייפרעו מקופת איגוד הערים.</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אצילת סמכויות</w:t>
                </w:r>
              </w:p>
            </w:txbxContent>
          </v:textbox>
        </v:rect>
      </w:pict>
      <w:r>
        <w:rPr>
          <w:lang w:bidi="he-IL"/>
          <w:rFonts w:hint="cs" w:cs="FrankRuehl"/>
          <w:szCs w:val="34"/>
          <w:rtl/>
        </w:rPr>
        <w:t xml:space="preserve">17ג.</w:t>
      </w:r>
      <w:r>
        <w:rPr>
          <w:lang w:bidi="he-IL"/>
          <w:rFonts w:hint="cs" w:cs="FrankRuehl"/>
          <w:szCs w:val="26"/>
          <w:rtl/>
        </w:rPr>
        <w:tab/>
        <w:t xml:space="preserve">שר הפנים רשאי לאצול מסמכויותיו לפי חוק זה, פרט לסמכותו להתקין תקנות ולסמכויותיו לפי סעיפים 16ג עד 16ז, 16ט ו-17א.</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הוראות מפקודת העיריות</w:t>
                </w:r>
              </w:p>
            </w:txbxContent>
          </v:textbox>
        </v:rect>
      </w:pict>
      <w:r>
        <w:rPr>
          <w:lang w:bidi="he-IL"/>
          <w:rFonts w:hint="cs" w:cs="FrankRuehl"/>
          <w:szCs w:val="34"/>
          <w:rtl/>
        </w:rPr>
        <w:t xml:space="preserve">17ד.</w:t>
      </w:r>
      <w:r>
        <w:rPr>
          <w:lang w:bidi="he-IL"/>
          <w:rFonts w:hint="cs" w:cs="FrankRuehl"/>
          <w:szCs w:val="26"/>
          <w:rtl/>
        </w:rPr>
        <w:tab/>
        <w:t xml:space="preserve">הוראות סעיפים 142א עד 142ג, 167(ה), 167ב, 170(ב), 170ג2, 170ג3, 171, 191, 192, 203, 210 ו-213 לפקודת העיריות, והוראות התקנות לפי סעיפים 167(ה) ו-170ג3(ד) לפקודה האמורה יחולו, בשינויים המחויבים, על איגוד ערים.</w:t>
      </w:r>
    </w:p>
    <w:p>
      <w:pPr>
        <w:bidi/>
        <w:spacing w:before="70" w:after="5" w:line="250" w:lineRule="auto"/>
        <w:jc w:val="center"/>
      </w:pPr>
      <w:defaultTabStop w:val="720"/>
      <w:r>
        <w:rPr>
          <w:lang w:bidi="he-IL"/>
          <w:rFonts w:hint="cs" w:cs="FrankRuehl"/>
          <w:szCs w:val="26"/>
          <w:b/>
          <w:bCs/>
          <w:rtl/>
        </w:rPr>
        <w:t xml:space="preserve">פרק א'1:אשכול רשויות מקומיות</w:t>
      </w:r>
      <w:bookmarkStart w:name="h35" w:id="35"/>
      <w:bookmarkEnd w:id="35"/>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איגוד ערים מסוג אשכול רשויות מקומיות</w:t>
                </w:r>
              </w:p>
            </w:txbxContent>
          </v:textbox>
        </v:rect>
      </w:pict>
      <w:r>
        <w:rPr>
          <w:lang w:bidi="he-IL"/>
          <w:rFonts w:hint="cs" w:cs="FrankRuehl"/>
          <w:szCs w:val="34"/>
          <w:rtl/>
        </w:rPr>
        <w:t xml:space="preserve">17ד1.</w:t>
      </w:r>
      <w:r>
        <w:rPr>
          <w:lang w:bidi="he-IL"/>
          <w:rFonts w:hint="cs" w:cs="FrankRuehl"/>
          <w:szCs w:val="26"/>
          <w:rtl/>
        </w:rPr>
        <w:tab/>
        <w:t xml:space="preserve">הוראות חוק זה יחולו גם על איגוד ערים שהוא אשכול רשויות מקומיות, המוקם כדי לעודד פיתוח אזורי וקידום שיתופי פעולה, בנושאים שונים, בין הרשויות המקומיות החברות בו (בפרק זה – אשכול), בשינויים המחויבים ובשינויים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בכפוף להוראות סעיף 2, לא יוקם אשכול אלא לבקשת הרשויות המקומיות האמורות להיכלל בתחומו;</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(2)</w:t>
        <w:tab/>
      </w:r>
      <w:r>
        <w:rPr>
          <w:lang w:bidi="he-IL"/>
          <w:rFonts w:hint="cs" w:cs="FrankRuehl"/>
          <w:szCs w:val="26"/>
          <w:rtl/>
        </w:rPr>
        <w:t xml:space="preserve">(א)</w:t>
      </w:r>
      <w:r>
        <w:rPr>
          <w:lang w:bidi="he-IL"/>
          <w:rFonts w:hint="cs" w:cs="FrankRuehl"/>
          <w:szCs w:val="26"/>
          <w:rtl/>
        </w:rPr>
        <w:tab/>
        <w:t xml:space="preserve">נוסף על תפקידיו וסמכויותיו של אשכול שנקבעו בצו המקים לפי סעיף 15(3), ובכפוף להוראות שנקבעו בו, רשות מקומית החברה באשכול רשאית, על פי הצעת ראש הרשות המקומית שאושרה בידי מועצת הרשות המקומית, לאצול לאשכול מסמכותה על פי כל חיקוק או להטיל עליו תפקיד שהוטל עליה על פי כל חיקוק;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אצילת סמכות או הטלת תפקיד לפי פסקה זו טעונה החלטה של מועצת האשכול ברוב חבריה, לאחר שהשתכנעה שלא יהיה בכך כדי לפגוע ביכולתו של האשכול למלא את התפקידים והסמכויות שנקבעו בצו המקים; רשות מקומית החברה באשכול והרואה את עצמה נפגעת מהחלטת המועצה לפי פסקת משנה זו רשאית להגיש לשר הפנים ערר מנומק בכתב על ההחלטה בתוך 7 ימים מיום קבלת ההחלטה; הוגש ערר כאמור, רשאי שר הפנים לבטל את ההחלטה או לאשרה, בשינויים או בתנאים;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הודעה על אצילת סמכות או הטלת תפקיד לפי פסקה זו תפורסם באתר האינטרנט של האשכול ובאתר האינטרנט של הרשות המקומית והיא תיכנס לתוקף בתום 7 ימים מיום קבלת ההחלטה כאמור בסעיף קטן (ב), ואם הוגש ערר כאמור באותו סעיף קטן – ביום החלטת שר הפנים בערר;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על סמכויות שנאצלו ותפקידים שהוטלו לפי פסקה זו לא יחולו הוראות סעיף 10;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על אף האמור בסעיף 16א, לא יפעיל שר הפנים את סמכותו באותו סעיף בעניינים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צירוף רשות מקומית לאשכול, אלא בהסכמת מועצת האשכול ומועצת הרשות המקומית המיועדת לצירוף, זולת אם ראה מטעמים המצדיקים זאת להפעיל את סמכותו בהעדר הסכמת מועצת האשכול כאמור; לא תובא הצעה לצירוף כאמור לאישור מועצת רשות מקומית, אלא על ידי ראש הרשות;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פרישת רשות מקומית מאשכול, אלא אם כן התקיים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מועצת הרשות המקומית המיועדת לפרישה ביקשה זאת; ביקשה מועצת הרשות המקומית כאמור – חייב שר הפנים לשנות את הצו המקים בהתאם;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מועצת האשכול, ברוב של שני שלישים מחבריה, ביקשה זאת, ושר הפנים שוכנע כי הרשות המקומית המיועדת לפרישה פוגעת בניהולו התקין של האשכול;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התפקידים והסמכויות של אשכול הקבועים בצו המקים לפי סעיף 15(3), אלא בהסכמת מועצת האשכול;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הסדרים בקשר לצירופה של רשות מקומית לאשכול ופרישתה ממנו, כאמור בסעיף 16(4), אלא לפי הצעת הרשות המקומית הנוגעת בדבר ומועצת האשכול; ואולם לא הושגה הסכמה בין הרשות המקומית לבין מועצת האשכול לעניין הסדרים כאמור – יקבע שר הפנים את ההסדרים ואת המועדים למימושם.</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עריכת מכרז בעבור רשויות מקומיות</w:t>
                </w:r>
              </w:p>
            </w:txbxContent>
          </v:textbox>
        </v:rect>
      </w:pict>
      <w:r>
        <w:rPr>
          <w:lang w:bidi="he-IL"/>
          <w:rFonts w:hint="cs" w:cs="FrankRuehl"/>
          <w:szCs w:val="34"/>
          <w:rtl/>
        </w:rPr>
        <w:t xml:space="preserve">17ד2.</w:t>
        <w:tab/>
      </w:r>
      <w:r>
        <w:rPr>
          <w:lang w:bidi="he-IL"/>
          <w:rFonts w:hint="cs" w:cs="FrankRuehl"/>
          <w:szCs w:val="26"/>
          <w:rtl/>
        </w:rPr>
        <w:t xml:space="preserve">(א)</w:t>
      </w:r>
      <w:r>
        <w:rPr>
          <w:lang w:bidi="he-IL"/>
          <w:rFonts w:hint="cs" w:cs="FrankRuehl"/>
          <w:szCs w:val="26"/>
          <w:rtl/>
        </w:rPr>
        <w:tab/>
        <w:t xml:space="preserve">נוסף על התפקידים והסמכויות שנקבעו לאשכול בצו המקים לפי סעיף 15(3), או שהוענקו לו לפי סעיף 17ד1(2), רשאי אשכול לערוך ולפרסם מכרז להזמנת טובין או שירותים או לביצוע עבודות, כדי שהרשויות המקומיות החברות בו יוכלו להתקשר עם מי שזכה בו לצורך מילוי תפקידיהן.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מכרז לפי סעיף קטן (א) יחולו הוראות המכרזים החלות על האשכול, והיקף ההתקשרות המרבי על פי המכרז ייכלל במסמכי המכרז.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רשות מקומית החברה באשכול רשאית להתקשר בחוזה להזמנת טובין או שירותים או לביצוע עבודות עם מי שזכה במכרז שפורסם לפי סעיף קטן (א), ובלבד שהיקף ההתקשרות המצטבר הכולל על פי המכרז לא יעלה על ההיקף שצוין במסמכי המכרז.</w:t>
      </w:r>
    </w:p>
    <w:p>
      <w:pPr>
        <w:bidi/>
        <w:spacing w:before="70" w:after="5" w:line="250" w:lineRule="auto"/>
        <w:jc w:val="center"/>
      </w:pPr>
      <w:defaultTabStop w:val="720"/>
      <w:r>
        <w:rPr>
          <w:lang w:bidi="he-IL"/>
          <w:rFonts w:hint="cs" w:cs="FrankRuehl"/>
          <w:szCs w:val="26"/>
          <w:b/>
          <w:bCs/>
          <w:rtl/>
        </w:rPr>
        <w:t xml:space="preserve">פרק ב':איגוד ערים למים או לביוב</w:t>
      </w:r>
      <w:bookmarkStart w:name="h38" w:id="38"/>
      <w:bookmarkEnd w:id="38"/>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איגוד ערים למים או לביוב</w:t>
                </w:r>
              </w:p>
            </w:txbxContent>
          </v:textbox>
        </v:rect>
      </w:pict>
      <w:r>
        <w:rPr>
          <w:lang w:bidi="he-IL"/>
          <w:rFonts w:hint="cs" w:cs="FrankRuehl"/>
          <w:szCs w:val="34"/>
          <w:rtl/>
        </w:rPr>
        <w:t xml:space="preserve">17ה.</w:t>
        <w:tab/>
      </w:r>
      <w:r>
        <w:rPr>
          <w:lang w:bidi="he-IL"/>
          <w:rFonts w:hint="cs" w:cs="FrankRuehl"/>
          <w:szCs w:val="26"/>
          <w:rtl/>
        </w:rPr>
        <w:t xml:space="preserve">(א)</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"איגוד ערים למים או לביוב" – איגוד ערים, שתפקידיו וסמכויותיו הם, בין השאר, בתחומים הקשורים למשק המים או הביוב;</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המים" – חוק המים, התשי"ט-1959;</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תאגידי מים וביוב" – חוק תאגידי מים וביוב, התשס"א-2001;</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"מועצת רשות המים והביוב" – מועצת הרשות הממשלתית למים ולביוב, שהוקמה לפי סעיף 124טו לחוק המים;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"מנהל רשות המים והביוב" – מנהל הרשות הממשלתית למים ולביוב, שמונה לפי סעיף 124יט לחוק המים;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"מערכת ביוב" ו"שירותי ביוב" – כהגדרתם בחוק תאגידי מים וביוב;</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"רשות המים והביוב" – הרשות הממשלתית למים ולביוב, שהוקמה לפי סעיף 124יא לחוק המים.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"שפכים" – מים לאחר שימוש, הטעונים טיהור או סילוק לפי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חוק זה יחולו לעניין איגוד ערים למים או לביוב, בשינויים המחויבים ובשינויים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הסמכויות הנתונות לשר הפנים לפי חוק זה, למעט הסמכויות לפי סעיף 13 ולרבות הסמכויות לפי הסעיפים בפקודת העיריות המוחלים על איגוד ערים למים או לביוב לפי סעיף 17ד, יהיו נתונות, לעניין איגוד ערים למים או לביוב, למועצת רשות המים והביוב;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הוראות סעיף 2, החל ביום כ"ג בתמוז התשס"ט (15 ביולי 2009) לא יוקם איגוד ערים למים או לביוב, ולא תצורף לאיגוד כאמור רשות מקומית, למעט רשות מקומית שהיא מועצה אזורית;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סעיף 12 – לא יחול;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הסמכויות הנתונות לשר הפנים לפי סעיף 13 יהיו נתונות למנהל רשות המים והביוב;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הסמכות להתקין חוקי עזר, לפי סעיף 14, לא תחול לעניין הטלת אגרות והיטלים;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בסעיף 16ג(ב)(2), במקום "משרד הפנים" יקראו "רשות המים והביוב";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סעיף 17ג – לא יחול.</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התקנת מערכת ביוב ומתן שירותי ביוב</w:t>
                </w:r>
              </w:p>
            </w:txbxContent>
          </v:textbox>
        </v:rect>
      </w:pict>
      <w:r>
        <w:rPr>
          <w:lang w:bidi="he-IL"/>
          <w:rFonts w:hint="cs" w:cs="FrankRuehl"/>
          <w:szCs w:val="34"/>
          <w:rtl/>
        </w:rPr>
        <w:t xml:space="preserve">17ו.</w:t>
        <w:tab/>
      </w:r>
      <w:r>
        <w:rPr>
          <w:lang w:bidi="he-IL"/>
          <w:rFonts w:hint="cs" w:cs="FrankRuehl"/>
          <w:szCs w:val="26"/>
          <w:rtl/>
        </w:rPr>
        <w:t xml:space="preserve">(א)</w:t>
      </w:r>
      <w:r>
        <w:rPr>
          <w:lang w:bidi="he-IL"/>
          <w:rFonts w:hint="cs" w:cs="FrankRuehl"/>
          <w:szCs w:val="26"/>
          <w:rtl/>
        </w:rPr>
        <w:tab/>
        <w:t xml:space="preserve">מנהל רשות המים והביוב, באישור מועצת רשות המים והביוב, רשאי להורות לאיגוד ערים למים או לביוב, לשם ניצול מיטבי של תשתיות מים וביוב, השגת יעילות כלכלית, מניעת פגיעה סביבתית או בריאותית או לשם הסרת חסמי פיתוח, לעשות אחד או יותר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להתקין מערכת ביוב בתחומו, לשדרגה או להרחיבה לשם אספקת שירותי ביוב בעבור צרכנים שנמצאים בתחומו או לשם אספקת שירותי ביוב בעבור ספק שירותי ביוב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לספק שירותי ביוב באמצעות מערכת הביוב שלו לספק שירותי ביוב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להעביר דרך מערכת הביוב שלו שפכים בעבור ספק שירותי ביוב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תאשר מועצת רשות המים והביוב הוראה כאמור בסעיף קטן (א), אלא לאחר שהתקיימו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מועצת רשות המים והביוב שוכנעה שמתן הוראה או תנאיה לא יפגעו פגיעה משמעותית באיגוד הערים, ברשות מקומית שבתחומו או בצרכניו, ובשים לב ליכולתו של האיגוד למלא את חובותיו לפי כל דין וליכולתו הכלכלית וההנדסית לבצע את ההוראה;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מנהל רשות המים והביוב הודיע לאיגוד הערים ולספק שירותי הביוב האחר על כוונתו להביא לאישורה של מועצת רשות המים והביוב הוראה לפי סעיף זה, וניתנה להם הזדמנות סבירה להגיע להסכמה באותו עניין, לרבות לעניין התנאים והתמורה לכך, ובלבד שהסכמה כאמור תובא לאישור מועצת רשות המים והביוב;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ניתנה לאיגוד הערים ולספק שירותי הביוב האחר הזדמנות להשמיע את טענותיהם, לרבות לעניין התנאים והתמורה לביצוע הפעולות.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בהוראה לפי סעיף קטן (א) ייקבעו התנאים והתמורה לביצועה, ויכול שתינתן לתקופה קצובה, והכול בהתאם לכללים לפי סעיף קטן (ד).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מועצת רשות המים והביוב תקבע כללים בדבר אופן קביעת התנאים והתמורה לביצוע פעולות בהתאם להוראות לפי סעיף קטן (א), ככל שמועצת רשות המים והביוב לא קבעה בכללים אחרים לפי כל דין הסדרים בעניינים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איגוד ערים שניתנה לו הוראה לפי סעיף זה וספק שירותי הביוב האחר, רשאים לערור עליה, בתוך 30 ימים מיום שניתנה, לפני בית הדין לענייני מים כמשמעותו בחוק המים.</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תכניות</w:t>
                </w:r>
              </w:p>
            </w:txbxContent>
          </v:textbox>
        </v:rect>
      </w:pict>
      <w:r>
        <w:rPr>
          <w:lang w:bidi="he-IL"/>
          <w:rFonts w:hint="cs" w:cs="FrankRuehl"/>
          <w:szCs w:val="34"/>
          <w:rtl/>
        </w:rPr>
        <w:t xml:space="preserve">17ז.</w:t>
      </w:r>
      <w:r>
        <w:rPr>
          <w:lang w:bidi="he-IL"/>
          <w:rFonts w:hint="cs" w:cs="FrankRuehl"/>
          <w:szCs w:val="26"/>
          <w:rtl/>
        </w:rPr>
        <w:tab/>
        <w:t xml:space="preserve">מנהל רשות המים והביוב רשאי לדרוש מאיגוד ערים למים או לביוב להגיש לאישורו, באופן ובמועד שידרוש, תכניות אב לביוב, ותכנית פיתוח שנתית או רב-שנתית, שלמה או בחלקים; מנהל רשות המים והביוב רשאי לאשר את התכניות בשינויים או בתנאים, ואולם טען איגוד הערים כי יש באמור משום פגיעה משמעותית בו, רשאי הוא לפנות למועצת רשות המים והביוב בבקשה שתבחן מחדש את החלטת המנהל.</w:t>
      </w:r>
    </w:p>
    <w:p>
      <w:pPr>
        <w:bidi/>
        <w:spacing w:before="70" w:after="5" w:line="250" w:lineRule="auto"/>
        <w:jc w:val="center"/>
      </w:pPr>
      <w:defaultTabStop w:val="720"/>
      <w:r>
        <w:rPr>
          <w:lang w:bidi="he-IL"/>
          <w:rFonts w:hint="cs" w:cs="FrankRuehl"/>
          <w:szCs w:val="26"/>
          <w:b/>
          <w:bCs/>
          <w:rtl/>
        </w:rPr>
        <w:t xml:space="preserve">פרק ג':הוראות שונות</w:t>
      </w:r>
      <w:bookmarkStart w:name="h42" w:id="42"/>
      <w:bookmarkEnd w:id="42"/>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שר הפנים ממונה על ביצוע חוק זה והוא רשאי, למעט לעניין איגוד ערים למים או לביוב כהגדרתו בסעיף 17ה(א), להתקין תקנות בכל ענין הנוגע לביצועו לרבות תקנות בדבר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דרכי פירוקו של איגוד ערים;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דרכי צירופה של רשות מקומית לאיגוד ערים ופרישתה ממנה, בין עם הקמת האיגוד ובין לאחר מכן, ובקשר לכך – הקניית רכוש, הטלת חובות, תיאום חשבונות וחלוקת חובות בין הרשויות המקומיות הנוגעות בדבר לבין עצמן, וביניהן לבין האיגוד;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תנאי כשירות ופסלות לכהונה לחברי מועצה ודרכי מינוים של חברי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דרכי מינוים, תפקידיהם ותנאי העסקתם של עובדי איגוד ערים, ולענין המנהל הכללי – גם תנאי כשירות ופסלות לכהונה, ותקופת כהונה.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מועצת רשות המים והביוב, כהגדרתה בסעיף 17ה(א), רשאית לקבוע כללים לעניין איגוד ערים למים או לביוב כהגדרתו בסעיף האמור, לרבות כללים בדבר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העניינים המפורטים בסעיף קטן (א)(1) עד (4); כללים כאמור יותקנו בהתייעצות עם שר המשפטים;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אמות מידה והוראות בעניין הרמה, הטיב והאיכות של שירותים בתחומים הקשורים למשק המים או הביוב שנותן האיגוד לצרכניו, והבטחתם ברציפות ולאורך זמן; נקבעו כללים לפי פסקה זו, יבצע איגוד ערים למים או לביוב כל פעולה שאותה הוא רשאי לבצע לפי כל דין בתחומים הקשורים למשק המים או הביוב, בכפוף לכללים האמורים;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חישוב עלות ותעריפים לתשלומים בעד ביצוע פעולות בתחומים הקשורים למשק המים או הביוב שנותן האיגוד לצרכניו; הוראות סעיפים 101 עד 103 לחוק תאגידי מים וביוב יחולו לעניין קביעת כללים לפי פסקה זו, בשינויים המחויבים.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ישראל רוקח</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שרת</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בן-צבי</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איגודי ערים, תשט"ו-1955, נוסח עדכני נכון ליום 22.10.2022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3f2f56ac0534f1e" /><Relationship Type="http://schemas.openxmlformats.org/officeDocument/2006/relationships/header" Target="/word/header1.xml" Id="r97" /><Relationship Type="http://schemas.openxmlformats.org/officeDocument/2006/relationships/footer" Target="/word/footer1.xml" Id="r98" /></Relationships>
</file>