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c70bcd2f2648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לשון הרע,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הרע מהי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מהו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הבעת לשון הרע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הרע על ציבור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הרע על מת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ב':אחריות ותרופות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הרע – עבירה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לשון הרע – עוולה אזרחית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ללא הוכחת נזק</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נוספים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ביניים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בשל פרסום באמצעי התקשורת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של מדפיס ומפיץ</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ג':פרסומים מותרים; הגנות והקלות</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 מותרים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אמת הפרסום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תום לב</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הגנת תום לב</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הפרכה של טענות הגנה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לפרסום הליכים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על אפיו וכו' של הנפגע</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פרסום ברבים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שני משפטים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 הנפגע</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עדכון</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חיקוקים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 איסור לשון הרע, תשכ"ה-1965</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הרע מהי</w:t>
                </w:r>
              </w:p>
            </w:txbxContent>
          </v:textbox>
        </v:rect>
      </w:pict>
      <w:r>
        <w:rPr>
          <w:lang w:bidi="he-IL"/>
          <w:rFonts w:hint="cs" w:cs="FrankRuehl"/>
          <w:szCs w:val="34"/>
          <w:rtl/>
        </w:rPr>
        <w:t xml:space="preserve">1.</w:t>
      </w:r>
      <w:r>
        <w:rPr>
          <w:lang w:bidi="he-IL"/>
          <w:rFonts w:hint="cs" w:cs="FrankRuehl"/>
          <w:szCs w:val="26"/>
          <w:rtl/>
        </w:rPr>
        <w:tab/>
        <w:t xml:space="preserve">לשון הרע היא דבר שפרסומו עלול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להשפיל אדם בעיני הבריות או לעשותו מטרה לשנאה, לבוז או ללעג מצדם;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לבזות אדם בשל מעשים, התנהגות או תכונות המיוחסים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לפגוע באדם במשרתו, אם משרה ציבורית ואם משרה אחרת, בעסקו, במשלח ידו או במקצועו;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לבזות אדם בשל גזעו, מוצאו, דתו, מקום מגוריו, גילו, מינו, נטייתו המינית או מוגבלותו;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 יחיד או תאגיד;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"מוגבלות" – לקות פיסית, נפשית או שכלית, לרבות קוגניטיבית, קבועה או זמנית.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מהו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פרסום, לענין לשון הרע – בין בעל פה ובין בכתב או בדפוס, לרבות ציור, דמות, תנועה, צליל וכל אמצעי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רואים כפרסום לשון הרע, בלי למעט מדרכי פרסום אחרות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היתה מיועדת לאדם זולת הנפגע והגיעה לאותו אדם או לאדם אחר זולת הנפגע;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היתה בכתב והכתב עשוי היה, לפי הנסיבות, להגיע לאדם זולת הנפגע.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הבעת לשון הרע</w:t>
                </w:r>
              </w:p>
            </w:txbxContent>
          </v:textbox>
        </v:rect>
      </w:pict>
      <w:r>
        <w:rPr>
          <w:lang w:bidi="he-IL"/>
          <w:rFonts w:hint="cs" w:cs="FrankRuehl"/>
          <w:szCs w:val="34"/>
          <w:rtl/>
        </w:rPr>
        <w:t xml:space="preserve">3.</w:t>
      </w:r>
      <w:r>
        <w:rPr>
          <w:lang w:bidi="he-IL"/>
          <w:rFonts w:hint="cs" w:cs="FrankRuehl"/>
          <w:szCs w:val="26"/>
          <w:rtl/>
        </w:rPr>
        <w:tab/>
        <w:t xml:space="preserve">אין נפקא מינה אם לשון הרע הובעה במישרין ובשלמות, או אם היא והתייחסותה לאדם הטוען שנפגע בה משתמעות מן הפרסום או מנסיבות חיצוניות, או מקצתן מזה ומקצתן מזה.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הרע על ציבור</w:t>
                </w:r>
              </w:p>
            </w:txbxContent>
          </v:textbox>
        </v:rect>
      </w:pict>
      <w:r>
        <w:rPr>
          <w:lang w:bidi="he-IL"/>
          <w:rFonts w:hint="cs" w:cs="FrankRuehl"/>
          <w:szCs w:val="34"/>
          <w:rtl/>
        </w:rPr>
        <w:t xml:space="preserve">4.</w:t>
      </w:r>
      <w:r>
        <w:rPr>
          <w:lang w:bidi="he-IL"/>
          <w:rFonts w:hint="cs" w:cs="FrankRuehl"/>
          <w:szCs w:val="26"/>
          <w:rtl/>
        </w:rPr>
        <w:tab/>
        <w:t xml:space="preserve">לשון הרע על חבר בני אדם או על ציבור כלשהו שאינם תאגיד, דינה כדין לשון הרע על תאגיד, אלא שאין בה עילה לתובענה אזרחית או לקובלנה, ולא יוגש כתב אישום בשל עבירה לפי סעיף זה אלא על ידי היועץ המשפטי לממשלה או בהסכמתו.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הרע על מת</w:t>
                </w:r>
              </w:p>
            </w:txbxContent>
          </v:textbox>
        </v:rect>
      </w:pict>
      <w:r>
        <w:rPr>
          <w:lang w:bidi="he-IL"/>
          <w:rFonts w:hint="cs" w:cs="FrankRuehl"/>
          <w:szCs w:val="34"/>
          <w:rtl/>
        </w:rPr>
        <w:t xml:space="preserve">5.</w:t>
      </w:r>
      <w:r>
        <w:rPr>
          <w:lang w:bidi="he-IL"/>
          <w:rFonts w:hint="cs" w:cs="FrankRuehl"/>
          <w:szCs w:val="26"/>
          <w:rtl/>
        </w:rPr>
        <w:tab/>
        <w:t xml:space="preserve">לשון הרע על אדם שפורסמה אחרי מותו, דינה כדין לשון הרע על אדם חי, אלא שאין בה עילה לתובענה אזרחית או לקובלנה, ולא יוגש כתב אישום בשל עבירה לפי סעיף זה אלא אם ביקש זאת בן-זוגו של המת או אחד מילדיו, נכדיו, הוריו, אחיו או אחיותיו.</w:t>
      </w:r>
    </w:p>
    <w:p>
      <w:pPr>
        <w:bidi/>
        <w:spacing w:before="70" w:after="5" w:line="250" w:lineRule="auto"/>
        <w:jc w:val="center"/>
      </w:pPr>
      <w:defaultTabStop w:val="720"/>
      <w:r>
        <w:rPr>
          <w:lang w:bidi="he-IL"/>
          <w:rFonts w:hint="cs" w:cs="FrankRuehl"/>
          <w:szCs w:val="26"/>
          <w:b/>
          <w:bCs/>
          <w:rtl/>
        </w:rPr>
        <w:t xml:space="preserve">פרק ב':אחריות ותרופות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הרע – עבירה</w:t>
                </w:r>
              </w:p>
            </w:txbxContent>
          </v:textbox>
        </v:rect>
      </w:pict>
      <w:r>
        <w:rPr>
          <w:lang w:bidi="he-IL"/>
          <w:rFonts w:hint="cs" w:cs="FrankRuehl"/>
          <w:szCs w:val="34"/>
          <w:rtl/>
        </w:rPr>
        <w:t xml:space="preserve">6.</w:t>
      </w:r>
      <w:r>
        <w:rPr>
          <w:lang w:bidi="he-IL"/>
          <w:rFonts w:hint="cs" w:cs="FrankRuehl"/>
          <w:szCs w:val="26"/>
          <w:rtl/>
        </w:rPr>
        <w:tab/>
        <w:t xml:space="preserve">המפרסם לשון הרע, בכוונה לפגוע, לשני בני-אדם או יותר זולת הנפגע, דינו – מאסר שנה אחת.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לשון הרע – עוולה אזרחית</w:t>
                </w:r>
              </w:p>
            </w:txbxContent>
          </v:textbox>
        </v:rect>
      </w:pict>
      <w:r>
        <w:rPr>
          <w:lang w:bidi="he-IL"/>
          <w:rFonts w:hint="cs" w:cs="FrankRuehl"/>
          <w:szCs w:val="34"/>
          <w:rtl/>
        </w:rPr>
        <w:t xml:space="preserve">7.</w:t>
      </w:r>
      <w:r>
        <w:rPr>
          <w:lang w:bidi="he-IL"/>
          <w:rFonts w:hint="cs" w:cs="FrankRuehl"/>
          <w:szCs w:val="26"/>
          <w:rtl/>
        </w:rPr>
        <w:tab/>
        <w:t xml:space="preserve">פרסום לשון הרע לאדם או יותר זולת הנפגע תהא עוולה אזרחית, ובכפוף להוראות חוק זה יחולו עליה הוראות הסעיפים 2(2) עד 15, 55ב, 58 עד 61 ו-63 עד 68א לפקודת הנזיקים האזרחיים, 1944.</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ללא הוכחת נזק</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הורשע אדם בעבירה לפי חוק זה, רשאי בית המשפט לחייבו לשלם לנפגע פיצוי שלא יעלה על 50,000 שקלים חדשים, ללא הוכחת נזק; חיוב בפיצוי לפי סעיף קטן זה הוא כפסק דין של אותו בית משפט שניתן בתובענה אזרחית של הזכאי נגד החייב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במשפט בשל עוולה אזרחית לפי חוק זה רשאי בית המשפט לחייב את הנתבע לשלם לנפגע פיצוי שלא יעלה על 50,000 שקלים חדשים, ללא הוכחת 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במשפט בשל עוולה אזרחית לפי חוק זה, שבו הוכח כי לשון הרע פורסמה בכוונה לפגוע, רשאי בית המשפט לחייב את הנתבע לשלם לנפגע, פיצוי שלא יעלה על כפל הסכום כאמור בסעיף קטן (ב), ללא הוכחת 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יקבל אדם פיצוי ללא הוכחת נזק, לפי סעיף זה, בשל אותה לשון הרע, יותר מפעם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הסכומים האמורים בסעיף זה יעודכנו ב-16 בכל חודש, בהתאם לשיעור עליית המדד החדש לעומת המדד הבסיסי; לענין 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מדד החודש שקדם לחודש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מדד חודש ספטמבר 1998.</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w:t>
                </w:r>
              </w:p>
            </w:txbxContent>
          </v:textbox>
        </v:rect>
      </w:pict>
      <w:r>
        <w:rPr>
          <w:lang w:bidi="he-IL"/>
          <w:rFonts w:hint="cs" w:cs="FrankRuehl"/>
          <w:szCs w:val="34"/>
          <w:rtl/>
        </w:rPr>
        <w:t xml:space="preserve">8.</w:t>
      </w:r>
      <w:r>
        <w:rPr>
          <w:lang w:bidi="he-IL"/>
          <w:rFonts w:hint="cs" w:cs="FrankRuehl"/>
          <w:szCs w:val="26"/>
          <w:rtl/>
        </w:rPr>
        <w:tab/>
        <w:t xml:space="preserve">עבירה בשל לשון הרע לפי חוק זה תהא בין העבירות שבהן רשאי הנפגע להאשים על ידי הגשת קובלנה לבית המשפט.</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נוספים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נוסף לכל עונש וסעד אחר רשאי בית המשפט, במשפט פלילי או אזרחי בשל לשון הרע, לצוות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איסור הפצה של עותקי הפרסום המכיל את לשון הרע או על החרמתם; צו החרמה לפי פסקה זו כוחו יפה כלפי כל אדם שברשותו נמצאים עותקים כאלה לשם מכירה, הפצה או החסנה, גם אם אותו אדם לא היה צד למשפט; ציווה בית המשפט על החרמה, יורה מה ייעשה בעותקים שהוחרמו;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פרסום תיקון או הכחשה של דבר המהווה לשון הרע או על פרסום פסק הדין, כולו או מקצתו; הפרסום ייעשה על חשבון הנאשם או הנתבע, במקום, במידה ובדרך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זה כדי למנוע החזקת עותק של פרסום בספריות ציבוריות, בארכיונים וכיוצא באלה, זולת אם הטיל בית המשפט, בצו החרמה על פי סעיף קטן (א)(1), הגבלה גם על החזקה כזאת, ואין בהן כדי למנוע החזקת עותק של פרסום על ידי הפרט.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ביניים</w:t>
                </w:r>
              </w:p>
            </w:txbxContent>
          </v:textbox>
        </v:rect>
      </w:pict>
      <w:r>
        <w:rPr>
          <w:lang w:bidi="he-IL"/>
          <w:rFonts w:hint="cs" w:cs="FrankRuehl"/>
          <w:szCs w:val="34"/>
          <w:rtl/>
        </w:rPr>
        <w:t xml:space="preserve">10.</w:t>
      </w:r>
      <w:r>
        <w:rPr>
          <w:lang w:bidi="he-IL"/>
          <w:rFonts w:hint="cs" w:cs="FrankRuehl"/>
          <w:szCs w:val="26"/>
          <w:rtl/>
        </w:rPr>
        <w:tab/>
        <w:t xml:space="preserve">הודה הנאשם או הנתבע שמקצת הדברים שפורסמו יש בהם לשון הרע או שמקצתם אינם אמת, רשאי בית המשפט, בכל שלב משלבי הדיון לפני מתן פסק-הדין, לצוות על פרסום של תיקון או הכחשה לאותם הדברים כאמור בסעיף 9(א)(2).</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בשל פרסום באמצעי התקשורת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פורסמה לשון הרע באמצעי תקשורת, ישאו באחריות פלילית ואזרחית בשל לשון הרע, האדם שהביא את דבר לשון הרע לאמצעי התקשורת וגרם בכך לפרסומו, עורך אמצעי התקשורת ומי שהחליט בפועל על הפרסום, ובאחריות אזרחית ישא גם האחראי לאמצעי התקשורת.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באישום פלילי לפי סעיף זה תהא זו הגנה טובה לעורך אמצעי התקשורת שנקט אמצעים סבירים כדי למנוע פרסום אותה לשון הרע ושלא ידע על פרסומה.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 תקשורת" – עתון וכן שידורי רדיו וטלויזיה הניתנים לציבור;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"עורך אמצעי תקשורת", בעתון – לרבות עורך בפועל, ובשידור – לרבות עורך התכנית שבה נעשה הפרסום;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"אחראי לאמצעי התקשורת", בעתון – המוציא לאור, ובשידורי רדיו וטלויזיה – מי שאחראי לקיומם.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של מדפיס ומפיץ</w:t>
                </w:r>
              </w:p>
            </w:txbxContent>
          </v:textbox>
        </v:rect>
      </w:pict>
      <w:r>
        <w:rPr>
          <w:lang w:bidi="he-IL"/>
          <w:rFonts w:hint="cs" w:cs="FrankRuehl"/>
          <w:szCs w:val="34"/>
          <w:rtl/>
        </w:rPr>
        <w:t xml:space="preserve">12.</w:t>
      </w:r>
      <w:r>
        <w:rPr>
          <w:lang w:bidi="he-IL"/>
          <w:rFonts w:hint="cs" w:cs="FrankRuehl"/>
          <w:szCs w:val="26"/>
          <w:rtl/>
        </w:rPr>
        <w:tab/>
        <w:t xml:space="preserve">פורסמה לשון הרע בדפוס, למעט בעתון בעל תדירות הופעה של ארבעים יום או פחות, ישאו באחריות פלילית ואזרחית בשל לשון הרע גם מחזיק בית הדפוס, שבו הודפס הפרסום, ומי שמוכר את הפרסום או מפיץ אותו בדרך אחרת, ובלבד שלא ישאו באחריות אלא אם ידעו או חייבים היו לדעת שהפרסום מכיל לשון הרע.</w:t>
      </w:r>
    </w:p>
    <w:p>
      <w:pPr>
        <w:bidi/>
        <w:spacing w:before="70" w:after="5" w:line="250" w:lineRule="auto"/>
        <w:jc w:val="center"/>
      </w:pPr>
      <w:defaultTabStop w:val="720"/>
      <w:r>
        <w:rPr>
          <w:lang w:bidi="he-IL"/>
          <w:rFonts w:hint="cs" w:cs="FrankRuehl"/>
          <w:szCs w:val="26"/>
          <w:b/>
          <w:bCs/>
          <w:rtl/>
        </w:rPr>
        <w:t xml:space="preserve">פרק ג':פרסומים מותרים; הגנות והקלות</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 מותרים</w:t>
                </w:r>
              </w:p>
            </w:txbxContent>
          </v:textbox>
        </v:rect>
      </w:pict>
      <w:r>
        <w:rPr>
          <w:lang w:bidi="he-IL"/>
          <w:rFonts w:hint="cs" w:cs="FrankRuehl"/>
          <w:szCs w:val="34"/>
          <w:rtl/>
        </w:rPr>
        <w:t xml:space="preserve">13.</w:t>
      </w:r>
      <w:r>
        <w:rPr>
          <w:lang w:bidi="he-IL"/>
          <w:rFonts w:hint="cs" w:cs="FrankRuehl"/>
          <w:szCs w:val="26"/>
          <w:rtl/>
        </w:rPr>
        <w:tab/>
        <w:t xml:space="preserve">לא ישמש עילה למשפט פלילי או אזרחי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פרסום לפי סעיף 28 לחוק יסוד: הכנסת, או פרסום המוגן לפי סעיף 1 לחוק חסינות חברי הכנסת, זכויותיהם וחובותיהם, תשי"א-1951;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פרסום בישיבת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פרסום על ידי הממשלה, או חבר ממשלה בתוקף תפקידו, או פרסום על פי הוראת הממשלה או הוראת חבר ממשלה בתוקף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פרסום על ידי מבקר המדינה בתוקף תפקידו או פרסום כאמור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פרסום על ידי שופט, חבר של בית דין דתי, בורר, או אדם אחר בעל סמכות שיפוטית או מעין-שיפוטית על פי דין, שנעשה תוך כדי דיון בפניהם, או בהחלטתם, או פרסום על ידי בעל דין, בא כוחו של בעל דין או עד, שנעשה תוך כדי דיון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פרסום על ידי חבר ועדת חקירה, כמשמעותה בסעיף 22 לחוק-יסוד: הכנסת או בפקודת ועדות חקירה, שנעשה תוך כדי דיון בפני הועדה, או בדין וחשבון שלה, או פרסום על ידי אדם שענינו משמש נושא לחקירת הועדה, בא כוחו של אדם כזה או עד, שנעשה תוך כדי דיון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דין וחשבון נכון והוגן על מה שנאמר או אירע כאמור בפסקאות (5) או (6) בישיבה פומבית, ובלבד שהפרסום לא נאסר לפי 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דין וחשבון נכון והוגן על מה שנאמר או אירע בישיבה פומבית של ארגון בין-לאומי שמדינת ישראל חברה בו, של ועידה בין-לאומית שאליה שלחה ממשלת ישראל נציג, של בית דין בין-לאומי, או של מוסד ממוסדותיה הנבחרים של ההסתדרות הציונית העולמית – הסוכנות היהודית לארץ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פרסום שהמפרסם חייב לעשות על פי דין או על פי הוראה של רשות המוסמכת לכך כדין או שהוא רשאי לעשות על פי היתר של רשות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העתק או תמצית נכונה והוגנת ממרשם המתנהל על פי חיקוק או ממסמך אחר הפתוחים על פי חיקוק לעיון כל דורש;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פרסום נכון והוגן – מלא, חלקי או תמציתי – של מה שפורסם קודם לכן בנסיבות האמורות בפסקאות (1), (3), (4), (7), (8), (9) או (10), ופרסום חוזר כאמור של מה שפורסם בישיבת הממשלה והממשלה התירה לפרסמו.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אמת הפרסום</w:t>
                </w:r>
              </w:p>
            </w:txbxContent>
          </v:textbox>
        </v:rect>
      </w:pict>
      <w:r>
        <w:rPr>
          <w:lang w:bidi="he-IL"/>
          <w:rFonts w:hint="cs" w:cs="FrankRuehl"/>
          <w:szCs w:val="34"/>
          <w:rtl/>
        </w:rPr>
        <w:t xml:space="preserve">14.</w:t>
      </w:r>
      <w:r>
        <w:rPr>
          <w:lang w:bidi="he-IL"/>
          <w:rFonts w:hint="cs" w:cs="FrankRuehl"/>
          <w:szCs w:val="26"/>
          <w:rtl/>
        </w:rPr>
        <w:tab/>
        <w:t xml:space="preserve">במשפט פלילי או אזרחי בשל לשון הרע תהא זאת הגנה טובה שהדבר שפורסם היה אמת והיה בפרסום ענין ציבורי; הגנה זו לא תישלל בשל כך בלבד שלא הוכחה אמיתותו של פרט לוואי שאין בו פגיעה של ממש.</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תום לב</w:t>
                </w:r>
              </w:p>
            </w:txbxContent>
          </v:textbox>
        </v:rect>
      </w:pict>
      <w:r>
        <w:rPr>
          <w:lang w:bidi="he-IL"/>
          <w:rFonts w:hint="cs" w:cs="FrankRuehl"/>
          <w:szCs w:val="34"/>
          <w:rtl/>
        </w:rPr>
        <w:t xml:space="preserve">15.</w:t>
      </w:r>
      <w:r>
        <w:rPr>
          <w:lang w:bidi="he-IL"/>
          <w:rFonts w:hint="cs" w:cs="FrankRuehl"/>
          <w:szCs w:val="26"/>
          <w:rtl/>
        </w:rPr>
        <w:tab/>
        <w:t xml:space="preserve">במשפט פלילי או אזרחי בשל לשון הרע תהא זאת הגנה טובה אם הנאשם או הנתבע עשה את הפרסום בתום לב באחת הנסיבות האלו: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לא ידע ולא היה חייב לדעת על קיום הנפגע או על הנסיבות שמהן משתמעת לשון הרע או התייחסותה לנפגע כאמור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היחסים שבינו לבין האדם שאליו הופנה הפרסום הטילו עליו חובה חוקית, מוסרית או חברתית לעשות אותו 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הפרסום נעשה לשם הגנה על ענין אישי כשר של הנאשם או הנתבע, של האדם שאליו הופנה הפרסום או של מי שאותו אדם מעונין בו ענין אישי 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הפרסום היה הבעת דעה על התנהגות הנפגע בתפקיד שיפוטי, רשמי או ציבורי, בשירות ציבורי או בקשר לענין ציבורי, או על אפיו, עברו, מעשיו או דעותיו של הנפגע במידה שהם נתגלו באותה התנהגות;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הפרסום היה הבעת דעה על התנהגות הנפגע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כבעל דין, כבא כוחו של בעל-דין או כעד בישיבה פומבית של דיון כאמור בסעיף 13(5), ובלבד שהפרסום לא נאסר לפי סעיף 21,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כאדם שענינו משמש נושא לחקירה, כבא כוחו של אדם כזה או כעד בישיבה פומבית של ועדת חקירה כאמור בסעיף 13(6),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 על אפיו, עברו, מעשיו או דעותיו של הנפגע במידה שהם נתגלו באותה התנהגות;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הפרסום היה בקורת על יצירה ספרותית, מדעית, אמנותית או אחרת שהנפגע פרסם או הציג ברבים, או על פעולה שעשה בפומבי, ובמידה שהדבר כרוך בבקורת כזאת – הבעת דעה על אפיו, עברו, מעשיו או דעותיו של הנפגע במידה שהם נתגלו באותה יצירה או 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הפרסום היה הבעת דעה על התנהגותו או אפיו של הנפגע בענין שבו הנאשם או הנתבע ממונה על הנפגע, מכוח דין או חוזה, והפרסום היה מוצדק על ידי היותו ממונה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הפרסום היה בהגשת תלונה על הנפגע בענין שבו האדם שאליו הוגשה התלונה ממונה על הנפגע, מכוח דין או חוזה, או תלונה שהוגשה לרשות המוסמכת לקבל תלונות על הנפגע או לחקור בענין המשמש נושא התלונה ואולם אין בהוראה זו כדי להקנות הגנה על פרסום אחר של התלונה, של דבר הגשתה או של תכנה;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הפרסום היה דין וחשבון נכון והוגן על אסיפה פומבית או על אסיפה או ישיבה של תאגיד שלציבור היתה גישה אליה, והיה בפרסומו ענין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הפרסום לא נעשה אלא כדי לגנות או להכחיש לשון הרע שפורסמה קודם לכן;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הפרסום לא היה אלא מסירת ידיעה לעורך אמצעי תקשורת או לנציגו כדי שיבחן שאלת פרסומה באמצעי התקשורת;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הפרסום נעשה בשידור רדיו או טלוויזיה שלא הוקלט מראש והנאשם או הנתבע הוא מי שאחראי לפי סעיף 11 והוא לא ידע ולא יכול היה לדעת על הכוונה לפרסם לשון הרע.</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הוכיח הנאשם או הנתבע שעשה את הפרסום באחת הנסיבות האמורות בסעיף 15 ושהפרסום לא חרג מתחום הסביר באותן נסיבות, חזקה עליו שעשה את הפרסום 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חזקה על הנאשם או הנתבע שעשה את הפרסום שלא בתום לב אם נתקיים בפרסום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הדבר שפורסם לא היה אמת והוא לא האמין באמיתותו;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הדבר שפורסם לא היה אמת והוא לא נקט לפני הפרסום אמצעים סבירים להיווכח אם אמת הוא אם לא;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נתכוון על ידי הפרסום לפגוע במידה גדולה משהיתה סבירה להגנת הערכים המוגנים על-ידי סעיף 15.</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הגנת תום לב</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פורסמה לשון הרע באמצעי תקשורת לא תעמוד הגנת תום לב לעורכו, למי שהחליט בפועל על הפרסום או לאחראי על אותו אמצעי תקשורת אם הנפגע, או אחד הנפגעים, דרש ממנו לפרסם תיקון או הכחשה מצד הנפגע ולא פרסם את התיקון או ההכחשה בכותרת מתאימה במקום, במידה, בהבלטה ובדרך שבה פורסמה אותה לשון הרע, ותוך זמן סביר מקבלת הדרישה; ובלבד שהדרישה היתה חתומה בידי הנפגע, שהתיקון או ההכחשה לא היה בהם משום לשון הרע או תוכן בלתי חוקי אחר, וארכם לא חרג מתחום הסביר בנסיבות.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הפרסום בעתון המופיע בתדירות פחותה מאחת לשבוע, יפורסמו התיקון או ההכחשה, לפי דרישת הנפגע, גם בעתון יומי.</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הפרכה של טענות הגנה</w:t>
                </w:r>
              </w:p>
            </w:txbxContent>
          </v:textbox>
        </v:rect>
      </w:pict>
      <w:r>
        <w:rPr>
          <w:lang w:bidi="he-IL"/>
          <w:rFonts w:hint="cs" w:cs="FrankRuehl"/>
          <w:szCs w:val="34"/>
          <w:rtl/>
        </w:rPr>
        <w:t xml:space="preserve">18.</w:t>
      </w:r>
      <w:r>
        <w:rPr>
          <w:lang w:bidi="he-IL"/>
          <w:rFonts w:hint="cs" w:cs="FrankRuehl"/>
          <w:szCs w:val="26"/>
          <w:rtl/>
        </w:rPr>
        <w:tab/>
        <w:t xml:space="preserve">הביא הנאשם או הנתבע ראיה או העיד בעצמו כדי להוכיח אחת ההגנות הניתנות בחוק זה, רשאי התובע להביא ראיות סותרות; אין בהוראה זו כדי לגרוע מסמכות בית-המשפט לפי כל דין להתיר הבאת ראיות על-ידי בעלי הדין.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w:t>
                </w:r>
              </w:p>
            </w:txbxContent>
          </v:textbox>
        </v:rect>
      </w:pict>
      <w:r>
        <w:rPr>
          <w:lang w:bidi="he-IL"/>
          <w:rFonts w:hint="cs" w:cs="FrankRuehl"/>
          <w:szCs w:val="34"/>
          <w:rtl/>
        </w:rPr>
        <w:t xml:space="preserve">19.</w:t>
      </w:r>
      <w:r>
        <w:rPr>
          <w:lang w:bidi="he-IL"/>
          <w:rFonts w:hint="cs" w:cs="FrankRuehl"/>
          <w:szCs w:val="26"/>
          <w:rtl/>
        </w:rPr>
        <w:tab/>
        <w:t xml:space="preserve">בבואו לגזור את הדין או לפסוק פיצויים רשאי בית המשפט להתחשב לטובת הנאשם או הנתבע גם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לשון הרע לא היתה אלא חזרה על מה שכבר נאמר, והוא נקב את המקור שעליו הסתמך;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היה משוכנע באמיתותה של לשון הרע;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לא נתכוון לנפגע;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התנצל בשל הפרסום, תיקן או הכחיש את הדבר המהווה לשון הרע או נקט צעדים להפסקת מכירתו או הפצתו של עותק הפרסום המכיל את לשון הרע, ובלבד שההתנצלות, התיקון או ההכחשה פורסמו במקום, במידה ובדרך שבהן פורסמה לשון הרע, ולא היו מסוייגים.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20.</w:t>
      </w:r>
      <w:r>
        <w:rPr>
          <w:lang w:bidi="he-IL"/>
          <w:rFonts w:hint="cs" w:cs="FrankRuehl"/>
          <w:szCs w:val="26"/>
          <w:rtl/>
        </w:rPr>
        <w:tab/>
        <w:t xml:space="preserve">חוק זה אינו בא להתיר פרסום האסור על פי דין אחר ואינו בא לגרוע מחסינות הניתנת על-פי דין אחר.</w:t>
      </w:r>
    </w:p>
    <w:p>
      <w:pPr>
        <w:bidi/>
        <w:spacing w:before="70" w:after="5" w:line="250" w:lineRule="auto"/>
        <w:jc w:val="center"/>
      </w:pPr>
      <w:defaultTabStop w:val="720"/>
      <w:r>
        <w:rPr>
          <w:lang w:bidi="he-IL"/>
          <w:rFonts w:hint="cs" w:cs="FrankRuehl"/>
          <w:szCs w:val="26"/>
          <w:b/>
          <w:bCs/>
          <w:rtl/>
        </w:rPr>
        <w:t xml:space="preserve">פרק ד':שונות</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לפרסום הליכים</w:t>
                </w:r>
              </w:p>
            </w:txbxContent>
          </v:textbox>
        </v:rect>
      </w:pict>
      <w:r>
        <w:rPr>
          <w:lang w:bidi="he-IL"/>
          <w:rFonts w:hint="cs" w:cs="FrankRuehl"/>
          <w:szCs w:val="34"/>
          <w:rtl/>
        </w:rPr>
        <w:t xml:space="preserve">21.</w:t>
      </w:r>
      <w:r>
        <w:rPr>
          <w:lang w:bidi="he-IL"/>
          <w:rFonts w:hint="cs" w:cs="FrankRuehl"/>
          <w:szCs w:val="26"/>
          <w:rtl/>
        </w:rPr>
        <w:tab/>
        <w:t xml:space="preserve">במשפט פלילי או אזרחי בשל לשון הרע רשאי בית המשפט, מיזמתו או לבקשת בעל דין, לאסור או לעכב זמנית, מנימוקים שיירשמו פרסום ברבים של הליכי בית המשפט – לרבות כתבי טענות כתבי בי-דין אחרים, כתב אישום ודבר הגשתם של אלה ולרבות פסק דין כל עוד אינו חלוט – במידה שראה צורך בכך לשם הגנה על שמו של אדם הנוגע במשפט ואולם לא יאסור בית משפט ולא יעכב זמנית את פרסום דבר פתיחתו של הליך משפטי, או את הפרסום של כתב אישום, תביעה או פסק דין, אם התנגד לכך הנפגע; העובר על איסור לפי סעיף זה, דינו – מאסר ששה חדשים או קנס 5000 לירות.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על אפיו וכו' של הנפגע</w:t>
                </w:r>
              </w:p>
            </w:txbxContent>
          </v:textbox>
        </v:rect>
      </w:pict>
      <w:r>
        <w:rPr>
          <w:lang w:bidi="he-IL"/>
          <w:rFonts w:hint="cs" w:cs="FrankRuehl"/>
          <w:szCs w:val="34"/>
          <w:rtl/>
        </w:rPr>
        <w:t xml:space="preserve">22.</w:t>
      </w:r>
      <w:r>
        <w:rPr>
          <w:lang w:bidi="he-IL"/>
          <w:rFonts w:hint="cs" w:cs="FrankRuehl"/>
          <w:szCs w:val="26"/>
          <w:rtl/>
        </w:rPr>
        <w:tab/>
        <w:t xml:space="preserve">במשפט פלילי או אזרחי בשל לשון הרע אין להביא ראיה או לחקור עד בדבר שמו הרע של הנפגע או בדבר אפיו, עברו, מעשיו או דעותיו הפגומים, אלא במידה שפרטים אלה נוגעים במישרין ללשון הרע המשמשת נושא למשפט, או שבית המשפט התיר הבאת ראיה או חקירת עד כאמור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במשפט פלילי, אחרי הרשעת הנאשם – להמתקת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במשפט אזרחי, אחרי ההחלטה שהנתבע חייב בפיצויים – להפחתת הפיצויים;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במידה שהנפגע מצדו העיד או הביא ראיה או חקר עד בדבר שמו, אפיו, עברו, מעשיו או דעותיו הטובים;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שוכנע בית המשפט שהדבר דרוש לעשיית צדק ולגילוי האמת, אם בעמידה על מהימנות עדותו של הנפגע ואם בדרך אחרת.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פרסום ברבים</w:t>
                </w:r>
              </w:p>
            </w:txbxContent>
          </v:textbox>
        </v:rect>
      </w:pict>
      <w:r>
        <w:rPr>
          <w:lang w:bidi="he-IL"/>
          <w:rFonts w:hint="cs" w:cs="FrankRuehl"/>
          <w:szCs w:val="34"/>
          <w:rtl/>
        </w:rPr>
        <w:t xml:space="preserve">23.</w:t>
      </w:r>
      <w:r>
        <w:rPr>
          <w:lang w:bidi="he-IL"/>
          <w:rFonts w:hint="cs" w:cs="FrankRuehl"/>
          <w:szCs w:val="26"/>
          <w:rtl/>
        </w:rPr>
        <w:tab/>
        <w:t xml:space="preserve">הוגש עותק של עתון או של דבר-דפוס אחר המופץ ברבים שבו נדפסה לשון הרע, ישמש הדבר ראיה לכאורה שאכן נעשה הפרסום באותו עתון או דבר-דפוס.</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שני משפטים</w:t>
                </w:r>
              </w:p>
            </w:txbxContent>
          </v:textbox>
        </v:rect>
      </w:pict>
      <w:r>
        <w:rPr>
          <w:lang w:bidi="he-IL"/>
          <w:rFonts w:hint="cs" w:cs="FrankRuehl"/>
          <w:szCs w:val="34"/>
          <w:rtl/>
        </w:rPr>
        <w:t xml:space="preserve">24.</w:t>
      </w:r>
      <w:r>
        <w:rPr>
          <w:lang w:bidi="he-IL"/>
          <w:rFonts w:hint="cs" w:cs="FrankRuehl"/>
          <w:szCs w:val="26"/>
          <w:rtl/>
        </w:rPr>
        <w:tab/>
        <w:t xml:space="preserve">במשפט אזרחי בשל לשון הרע שנדון לאחר שמשפט פלילי נגד אותו אדם בשל אותה לשון הרע נסתיים, רשאי בית המשפט להסתמך על הממצאים העובדתיים, כולם או מקצתם, שנקבעו במשפט הפלילי על-פי הראיות שנגבו בו, בלי לחזור על גבייתן.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 הנפגע</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אדם שנפגע על-ידי לשון הרע ותוך ששה חדשים לאחר פרסומה מת בלי להגיש תובענה או קובלנה בשל אותה לשון הרע, רשאים בן-זוגו, ילדו או הורהו, ואם לא השאיר בן-זוג, ילדים או הורים – אחיו או אחותו, להגיש, תוך ששה חדשים לאחר מותו, תובענה או קובלנה בשל אותה לשון הרע.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שהגיש תובענה או קובלנה בשל לשון הרע ומת לפני סיומה, רשאים בן-זוגו, ילדו או הורהו, ואם לא השאיר בן-זוג, ילדים או הורים – אחיו או אחותו, להודיע לבית המשפט, תוך ששה חדשים לאחר מותו, על רצונם להמשיך בתובענה או בקובלנה, ומשהודיעו כאמור, יבואו הם במקום התובע או הקובל.</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עדכון</w:t>
                </w:r>
              </w:p>
            </w:txbxContent>
          </v:textbox>
        </v:rect>
      </w:pict>
      <w:r>
        <w:rPr>
          <w:lang w:bidi="he-IL"/>
          <w:rFonts w:hint="cs" w:cs="FrankRuehl"/>
          <w:szCs w:val="34"/>
          <w:rtl/>
        </w:rPr>
        <w:t xml:space="preserve">25א.</w:t>
        <w:tab/>
      </w:r>
      <w:r>
        <w:rPr>
          <w:lang w:bidi="he-IL"/>
          <w:rFonts w:hint="cs" w:cs="FrankRuehl"/>
          <w:szCs w:val="26"/>
          <w:rtl/>
        </w:rPr>
        <w:t xml:space="preserve">(א)</w:t>
      </w:r>
      <w:r>
        <w:rPr>
          <w:lang w:bidi="he-IL"/>
          <w:rFonts w:hint="cs" w:cs="FrankRuehl"/>
          <w:szCs w:val="26"/>
          <w:rtl/>
        </w:rPr>
        <w:tab/>
        <w:t xml:space="preserve">פורסם באמצעי תקשורת שנפתחה חקירה פלילית נגד אדם או שהוגש נגדו כתב אישום או שהורשע בעבירה, והתקבלה החלטה לסגור את התיק, לא להגיש כתב אישום או לעכב הליכים, או שזוכה האדם או התקבל ערעורו, לפי הענין (בסעיף זה – החלטה עדכנית), ודרש אותו אדם בכתב מאמצעי התקשורת לפרסם את ההחלטה העדכנית, יפרסם אמצעי התקשורת את ההחלטה העדכנית בתוך זמן סביר מיום קבלת הדרישה; לענין סעיף זה, "הורשע" – לרבות קביעה של בית המשפט שהאדם ביצע עבירה, בלא הרשעה.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עדכנית תפורסם בהבלטה הראויה ובהתחשב, בין השאר, בדרך שבה פורסמה הידיעה שאותה יש לעדכן.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מעשה או מחדל בניגוד להוראות סעיף זה הוא עוולה אזרחית והוראות פקודת הנזיקין [נוסח חדש], יחולו עליה בכפוף להוראות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מעשה או מחדל בניגוד לסעיף זה יחולו הוראות סעיפים 7א(ב), (ד) ו-(ה), 9(א)(2), 10, 11(א) ו-(ג), 12, 23 ו-25,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חיקוקים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בפקודת העתונות, ברישה לסעיף 23(1), יימחקו המלים "או דיבה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בפקודת הנזיקין האזרחיים, 1944, בסעיף 66(2), במקום "מזכיר הממשלה" יבוא "שר האוצר".</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27.</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בפקודת החוק הפלילי, 1936 – הסעיפים 201 עד 203, 205 עד 209;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בפקודת הנזיקין האזרחיים, 1944 – הסעיפים 16 עד 22.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לשון הרע, תשכ"ה-1965,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e23365c0c7401f" /><Relationship Type="http://schemas.openxmlformats.org/officeDocument/2006/relationships/header" Target="/word/header1.xml" Id="r97" /><Relationship Type="http://schemas.openxmlformats.org/officeDocument/2006/relationships/footer" Target="/word/footer1.xml" Id="r98" /></Relationships>
</file>