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95f08f9024f409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המחאת חיובים, תשכ"ט-1969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המחאת זכות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הגנת החייב</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המחאה חלקית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המחאות סותרות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נלוות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המחאת חבות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הגנות הנמחה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ערבויות, שעבודים וכו'</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המחאות אחרות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חוק המחאת חיובים, תשכ"ט-1969</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המחאת זכות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זכותו של נושה, לרבות זכות מותנית או עתידה לבוא, ניתנת להמחאה ללא הסכמת החייב, זולת אם נשללה או הוגבלה עבירותה לפי דין, לפי מהות הזכות או לפי הסכם בין החייב לבין הנושה.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ההמחאה יכול שתהיה לגבי הזכות כולה או מקצתה, ויכול שתהיה מותנית או על דרך שעבוד.</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הגנת החייב</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המחאת זכות אין בה כדי לשנות את הזכות או תנאיה, ולחייב יעמדו כלפי הנמחה כל הטענות שעמדו לו כלפי הממחה בעת שנודע לו על ההמחאה.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פרע החייב את הזכות לממחה לפני שהודיע לו על ההמחאה או שהוצגה לפניו המחאה בכתב מאת הממחה, מופטר החייב, זולת אם פעל שלא בתום-לב.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פרע החייב את הזכות לנמחה לאחר שהממחה הודיע לו על ההמחאה או שהוצגה לפניו המחאה בכתב מאת הממחה, מופטר החייב אף אם לא עברה הזכות לנמחה, זולת אם פעל שלא בתום-לב.</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המחאה חלקית</w:t>
                </w:r>
              </w:p>
            </w:txbxContent>
          </v:textbox>
        </v:rect>
      </w:pict>
      <w:r>
        <w:rPr>
          <w:lang w:bidi="he-IL"/>
          <w:rFonts w:hint="cs" w:cs="FrankRuehl"/>
          <w:szCs w:val="34"/>
          <w:rtl/>
        </w:rPr>
        <w:t xml:space="preserve">3.</w:t>
      </w:r>
      <w:r>
        <w:rPr>
          <w:lang w:bidi="he-IL"/>
          <w:rFonts w:hint="cs" w:cs="FrankRuehl"/>
          <w:szCs w:val="26"/>
          <w:rtl/>
        </w:rPr>
        <w:tab/>
        <w:t xml:space="preserve">הומחתה מקצתה של זכות, רשאי החייב לנכות את ההוצאות שנגרמו לו כתוצאה מפיצול הזכות.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המחאות סותרות</w:t>
                </w:r>
              </w:p>
            </w:txbxContent>
          </v:textbox>
        </v:rect>
      </w:pict>
      <w:r>
        <w:rPr>
          <w:lang w:bidi="he-IL"/>
          <w:rFonts w:hint="cs" w:cs="FrankRuehl"/>
          <w:szCs w:val="34"/>
          <w:rtl/>
        </w:rPr>
        <w:t xml:space="preserve">4.</w:t>
      </w:r>
      <w:r>
        <w:rPr>
          <w:lang w:bidi="he-IL"/>
          <w:rFonts w:hint="cs" w:cs="FrankRuehl"/>
          <w:szCs w:val="26"/>
          <w:rtl/>
        </w:rPr>
        <w:tab/>
        <w:t xml:space="preserve">המחה הנושה זכות לאחד וחזר והמחה אותה לאחר, הזכות היא של הראשון; אולם אם הודיעו לחייב על ההמחאה השניה לפני שהודיעו לו על הראשונה, הזכות היא של השני.</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נלוות</w:t>
                </w:r>
              </w:p>
            </w:txbxContent>
          </v:textbox>
        </v:rect>
      </w:pict>
      <w:r>
        <w:rPr>
          <w:lang w:bidi="he-IL"/>
          <w:rFonts w:hint="cs" w:cs="FrankRuehl"/>
          <w:szCs w:val="34"/>
          <w:rtl/>
        </w:rPr>
        <w:t xml:space="preserve">5.</w:t>
      </w:r>
      <w:r>
        <w:rPr>
          <w:lang w:bidi="he-IL"/>
          <w:rFonts w:hint="cs" w:cs="FrankRuehl"/>
          <w:szCs w:val="26"/>
          <w:rtl/>
        </w:rPr>
        <w:tab/>
        <w:t xml:space="preserve">בכפוף להסכם ההמחאה כוללת המחאת זכות גם כל ערבות ושעבוד שניתנו להבטחתה וכל זכות אחרת הנלווית לזכות שנמחתה, במידה שהן עבירות; ועל הנושה לעשות, לפי דרישת הנמחה, את הפעולות הדרושות כדי שכוחה של המחאת הזכויות האמורות יהיה יפה לכל דבר.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המחאת חבות</w:t>
                </w:r>
              </w:p>
            </w:txbxContent>
          </v:textbox>
        </v:rect>
      </w:pict>
      <w:r>
        <w:rPr>
          <w:lang w:bidi="he-IL"/>
          <w:rFonts w:hint="cs" w:cs="FrankRuehl"/>
          <w:szCs w:val="34"/>
          <w:rtl/>
        </w:rPr>
        <w:t xml:space="preserve">6.</w:t>
      </w:r>
      <w:r>
        <w:rPr>
          <w:lang w:bidi="he-IL"/>
          <w:rFonts w:hint="cs" w:cs="FrankRuehl"/>
          <w:szCs w:val="26"/>
          <w:rtl/>
        </w:rPr>
        <w:tab/>
        <w:t xml:space="preserve">חבותו של חייב ניתנת להמחאה, כולה או מקצתה, בהסכם בין החייב לבין הנמחה שבאה עליו הסכמת הנושה, זולת אם נשללה או הוגבלה עבירותה לפי דין.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הגנות הנמחה</w:t>
                </w:r>
              </w:p>
            </w:txbxContent>
          </v:textbox>
        </v:rect>
      </w:pict>
      <w:r>
        <w:rPr>
          <w:lang w:bidi="he-IL"/>
          <w:rFonts w:hint="cs" w:cs="FrankRuehl"/>
          <w:szCs w:val="34"/>
          <w:rtl/>
        </w:rPr>
        <w:t xml:space="preserve">7.</w:t>
      </w:r>
      <w:r>
        <w:rPr>
          <w:lang w:bidi="he-IL"/>
          <w:rFonts w:hint="cs" w:cs="FrankRuehl"/>
          <w:szCs w:val="26"/>
          <w:rtl/>
        </w:rPr>
        <w:tab/>
        <w:t xml:space="preserve">המחאת חבות אין בה כדי לשנות את החבות או תנאיה, ולנמחה יעמדו כלפי הנושה כל הטענות שעמדו לחייב בעת ההמחאה.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ערבויות, שעבודים וכו'</w:t>
                </w:r>
              </w:p>
            </w:txbxContent>
          </v:textbox>
        </v:rect>
      </w:pict>
      <w:r>
        <w:rPr>
          <w:lang w:bidi="he-IL"/>
          <w:rFonts w:hint="cs" w:cs="FrankRuehl"/>
          <w:szCs w:val="34"/>
          <w:rtl/>
        </w:rPr>
        <w:t xml:space="preserve">8.</w:t>
      </w:r>
      <w:r>
        <w:rPr>
          <w:lang w:bidi="he-IL"/>
          <w:rFonts w:hint="cs" w:cs="FrankRuehl"/>
          <w:szCs w:val="26"/>
          <w:rtl/>
        </w:rPr>
        <w:tab/>
        <w:t xml:space="preserve">היתה החבות מובטחת בערבות או בשעבוד שניתן לא מידי החייב, מפקיעה המחאת החבות את הערבות והשעבוד, זולת אם הערב או בעל הנכס המשועבד הסכים להמחאה.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המחאות אחרות</w:t>
                </w:r>
              </w:p>
            </w:txbxContent>
          </v:textbox>
        </v:rect>
      </w:pict>
      <w:r>
        <w:rPr>
          <w:lang w:bidi="he-IL"/>
          <w:rFonts w:hint="cs" w:cs="FrankRuehl"/>
          <w:szCs w:val="34"/>
          <w:rtl/>
        </w:rPr>
        <w:t xml:space="preserve">9.</w:t>
      </w:r>
      <w:r>
        <w:rPr>
          <w:lang w:bidi="he-IL"/>
          <w:rFonts w:hint="cs" w:cs="FrankRuehl"/>
          <w:szCs w:val="26"/>
          <w:rtl/>
        </w:rPr>
        <w:tab/>
        <w:t xml:space="preserve">הוראות חוק זה יחולו גם על המחאת זכות או חבות שאינן נובעות מחיוב.</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10.</w:t>
      </w:r>
      <w:r>
        <w:rPr>
          <w:lang w:bidi="he-IL"/>
          <w:rFonts w:hint="cs" w:cs="FrankRuehl"/>
          <w:szCs w:val="26"/>
          <w:rtl/>
        </w:rPr>
        <w:tab/>
        <w:t xml:space="preserve">הוראות חוק זה יחולו כשאין בדין אחר הוראות מיוחדות לענין הנדון; הן אינן חלות על המחאות לפי מסמכים סחירים.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11.</w:t>
      </w:r>
      <w:r>
        <w:rPr>
          <w:lang w:bidi="he-IL"/>
          <w:rFonts w:hint="cs" w:cs="FrankRuehl"/>
          <w:szCs w:val="26"/>
          <w:rtl/>
        </w:rPr>
        <w:tab/>
        <w:t xml:space="preserve">זכות הנובעת מחיוב שנוצר לפני תחילת חוק זה, המחאת מקצתה טעונה הסכמת החייב.</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12.</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הספר הרביעי של המג'לה;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פקודת החוב (העברה).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13.</w:t>
      </w:r>
      <w:r>
        <w:rPr>
          <w:lang w:bidi="he-IL"/>
          <w:rFonts w:hint="cs" w:cs="FrankRuehl"/>
          <w:szCs w:val="26"/>
          <w:rtl/>
        </w:rPr>
        <w:tab/>
        <w:t xml:space="preserve">תחילתו של חוק זה ביום כ"ג בטבת תש"ל (1 בינואר 1970).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  ממלא מקום 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המחאת חיובים, תשכ"ט-1969,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b721174c6b440e7" /><Relationship Type="http://schemas.openxmlformats.org/officeDocument/2006/relationships/header" Target="/word/header1.xml" Id="r97" /><Relationship Type="http://schemas.openxmlformats.org/officeDocument/2006/relationships/footer" Target="/word/footer1.xml" Id="r98" /></Relationships>
</file>