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0c77fe8f344b3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המרכז להנצחת מורשת גוש קטיף וצפון השומרון,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המרכז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המרכז –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משנה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 של חבר המועצה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של חבר המועצה והשעיה מכהונה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 של חבר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המועצה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מועצה חדשה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המנהל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המנהל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כהונת המנהל והשעייתו</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 פנימי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האתר ותכולתו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לציבור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המכון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המכון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ספריה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הארכיון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הטיפול בחומר ארכיוני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הארכיון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פעילות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37</w:t>
                </w:r>
              </w:p>
            </w:tc>
          </w:tr>
        </w:tbl>
        <w:br w:type="page"/>
      </w:r>
    </w:p>
    <w:p>
      <w:pPr>
        <w:bidi/>
        <w:spacing w:before="45" w:after="70" w:line="250" w:lineRule="auto"/>
        <w:jc w:val="center"/>
      </w:pPr>
      <w:defaultTabStop w:val="720"/>
      <w:r>
        <w:rPr>
          <w:lang w:bidi="he-IL"/>
          <w:rFonts w:hint="cs" w:cs="FrankRuehl"/>
          <w:szCs w:val="32"/>
          <w:rtl/>
        </w:rPr>
        <w:t xml:space="preserve">חוק המרכז להנצחת מורשת גוש קטיף וצפון השומרון, תשס"ח-2008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להקים מרכז שינציח את מורשת ההתיישבות בגוש קטין וצפון השומרון, ובאמצעותו יונחלו ערכים לאומיים וחינוכיים.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"האתר" – אתר ההנצחה של מורשת ההתיישבות בגוש קטיף;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"הארכיון" – ארכיון המרכז;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"הגנז", "הגנזך", "חומר ארכיוני", "מוסד ממוסדות המדינה" – כהגדרתם בחוק הארכיונים,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להשכלה גבוהה" – כמשמעותה בחוק המועצה להשכלה גבוהה, התשי"ח-1958 (להלן – חוק 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"המכון" – המכון לחקר ההתיישבות בגוש קטיף ומורשתה שהוקם לפי סעיף 23;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מרכז להנצחת המורשת של ההתיישבות בגוש קטיף;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"גוש קטיף" – חבל עזה והיישובים בצפון השומרון, שפונו לפי חוק ההתנתקות והפיצויים לנפגעיה,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ראש הממשלה.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המרכז</w:t>
                </w:r>
              </w:p>
            </w:txbxContent>
          </v:textbox>
        </v:rect>
      </w:pict>
      <w:r>
        <w:rPr>
          <w:lang w:bidi="he-IL"/>
          <w:rFonts w:hint="cs" w:cs="FrankRuehl"/>
          <w:szCs w:val="34"/>
          <w:rtl/>
        </w:rPr>
        <w:t xml:space="preserve">3.</w:t>
      </w:r>
      <w:r>
        <w:rPr>
          <w:lang w:bidi="he-IL"/>
          <w:rFonts w:hint="cs" w:cs="FrankRuehl"/>
          <w:szCs w:val="26"/>
          <w:rtl/>
        </w:rPr>
        <w:tab/>
        <w:t xml:space="preserve">מוקם בזה המרכז להנצחת המורשת של ההתיישבות בגוש קטיף; המרכז יכלול אתר, מכון וארכיון.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המרכז – תאגיד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המרכז יהיה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יהיה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5.</w:t>
      </w:r>
      <w:r>
        <w:rPr>
          <w:lang w:bidi="he-IL"/>
          <w:rFonts w:hint="cs" w:cs="FrankRuehl"/>
          <w:szCs w:val="26"/>
          <w:rtl/>
        </w:rPr>
        <w:tab/>
        <w:t xml:space="preserve">למרכז תהיה מועצה בת 15 חברים (בחוק זה – המועצה), שימנה השר, ואלה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משרד ראש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עובד משרד החינוך, לפי המלצת שר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עובד משרד המדע התרבות והספורט, לפי המלצת שר המדע התרבות והספורט;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הגנז;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נציג הרשות המקומית שהמרכז פועל בתחומה;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נציג המועצה להנצחה, כמשמעותה בסעיף 43 לחוק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איש הסגל האקדמי במוסד להשכלה גבוהה, לפי המלצת המועצה להשכלה גבוהה; בפסקה זו, "מוסד להשכלה גבוהה"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מוסד מוכר כמשמעותו בסעיף 9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מוסד שקיבל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שישה נציגים של מפוני גוש קטיף, חמישה מחבל עזה ואחד מצפון השומרון, בהתייעצות עם ארגונים המייצגים את המפונים;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שני נציגי ציבור בעלי זיקה להתיישבות בגוש קטיף.</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6.</w:t>
      </w:r>
      <w:r>
        <w:rPr>
          <w:lang w:bidi="he-IL"/>
          <w:rFonts w:hint="cs" w:cs="FrankRuehl"/>
          <w:szCs w:val="26"/>
          <w:rtl/>
        </w:rPr>
        <w:tab/>
        <w:t xml:space="preserve">המועצה תמנה מבין חבריה, באישור השר, את היושב ראש ואת ממלא מקומו.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7.</w:t>
      </w:r>
      <w:r>
        <w:rPr>
          <w:lang w:bidi="he-IL"/>
          <w:rFonts w:hint="cs" w:cs="FrankRuehl"/>
          <w:szCs w:val="26"/>
          <w:rtl/>
        </w:rPr>
        <w:tab/>
        <w:t xml:space="preserve">תפקידי המועצה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מדיניותו הכללית של המרכז ואת קווי הפעולה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לקבל דוחות על פעילות המרכז מהמנהל;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לאשר את תקציב המרכז ואת תכנית העבודה השנתית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לפקח על ביצוע קווי הפעולה של המרכז ועל תכניותיו;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לדון בדוחות שהמבקר הפנימי יגיש לה ולקבל החלטות בעניינם.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משנה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רשאית למנות ועדות משנה מבין חבריה, ורשאית היא לצרף כחברים בוועדות אלה גם את מי שאינו נמנה עם חבריה, ובלבד שיושב ראש כל ועדה יהיה חבר המועצה ולפחות חמישית מחבריה יהיו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חברי ועדות המשנה שאינם חברי המועצה יחולו הוראות סעיף 11(א)(2), וכן יחולו עליהם הוראות סעיף 30, ואולם רשאי השר, באישור ועדת החינוך התרבות והספורט של הכנסת, לקבוע הוראות למניעת חשש לניגוד עניינים; קבע השר כאמור, יחוולו ההוראות שקבע.</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w:t>
                </w:r>
              </w:p>
            </w:txbxContent>
          </v:textbox>
        </v:rect>
      </w:pict>
      <w:r>
        <w:rPr>
          <w:lang w:bidi="he-IL"/>
          <w:rFonts w:hint="cs" w:cs="FrankRuehl"/>
          <w:szCs w:val="34"/>
          <w:rtl/>
        </w:rPr>
        <w:t xml:space="preserve">9.</w:t>
      </w:r>
      <w:r>
        <w:rPr>
          <w:lang w:bidi="he-IL"/>
          <w:rFonts w:hint="cs" w:cs="FrankRuehl"/>
          <w:szCs w:val="26"/>
          <w:rtl/>
        </w:rPr>
        <w:tab/>
        <w:t xml:space="preserve">המועצה תתקין, בתוך שישה חודשים מיום מינויה את תקנון המרכז, ובו ייקבעו, בין השאר, הוראות בדבר פעולותיה, פעולות המנהל ושאר מוסדות המרכז, סמכויות המוסדות וחובותיהם וסדרי עבודתם, לרבות הוראות בדבר מניין חוקי, דרכי קביעת התקציב ושינויים ותיקונים בתקנון, והכל ככל שאלה 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 של חבר המועצה</w:t>
                </w:r>
              </w:p>
            </w:txbxContent>
          </v:textbox>
        </v:rect>
      </w:pict>
      <w:r>
        <w:rPr>
          <w:lang w:bidi="he-IL"/>
          <w:rFonts w:hint="cs" w:cs="FrankRuehl"/>
          <w:szCs w:val="34"/>
          <w:rtl/>
        </w:rPr>
        <w:t xml:space="preserve">10.</w:t>
      </w:r>
      <w:r>
        <w:rPr>
          <w:lang w:bidi="he-IL"/>
          <w:rFonts w:hint="cs" w:cs="FrankRuehl"/>
          <w:szCs w:val="26"/>
          <w:rtl/>
        </w:rPr>
        <w:tab/>
        <w:t xml:space="preserve">חבר המועצה יתמנה לתקופה של ארבע שנים, ואפשר לשוב ולמנותו לתקופות כהונה נוספות, ואולם את חברי המועצה שמונו לפי סעיף 5(7) עד (9) אפשר לשוב ולמנות לתקופת כהונה נוספת אחת.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של חבר המועצה והשעיה מכהונה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אשר מפאת מהותה, חומרתה או נסיבותיה אין הוא ראוי לשמש כחבר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חדל להיות עובד המשרד הממשלתי או עובד או חבר בגוף שאותו הוא מייצג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נציג הציבור – אם נתמנה להיות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חבר המועצה בשל עבירה שמפאת מהותה, חומרתה או נסיבותיה אין הוא ראוי לשמש כחבר המועצה, רשאי השר להשעותו מכהונתו עד לסיום ההליך בעניינו ולמנות לו ממלא מקום למשך תקופת ההשעיה, לפי הוראות סעיף 5.</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 של חבר המועצה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רשאי, לאחר התייעצות עם יושב ראש המועצה, להעביר את חבר המועצה מכהונתו לפני תום תקופת כהונתו בשל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נעדר משלוש ישיבות רצופות, או מארבע ישיבות בתוך שנה אחת,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יחליט השר להעביר את חבר המועצה מכהונתו כאמור בסעיף קטן (א) תינתן לחבר המועצה הזדמנות לטעון את טענותיו לעניין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המועצה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ראה השר כי המועצה אינה ממלאת את תפקידה באופן נאות, יודיע למועצה בהודעה בכתב שישלח ליושב ראש המועצה, כי אם בתוך מועד שיקבע לא תמלא המועצה את המוטל עליה בהתאם להוראות חוק זה, כפי שפירט השר בדרישתו, יפזר את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מילאה המועצה את שהוטל עליה כאמור בסעיף קטן (א), בתוך המועד שקבע השר בהודעתו, רשאי השר להורות על פיזור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מועצה חדשה</w:t>
                </w:r>
              </w:p>
            </w:txbxContent>
          </v:textbox>
        </v:rect>
      </w:pict>
      <w:r>
        <w:rPr>
          <w:lang w:bidi="he-IL"/>
          <w:rFonts w:hint="cs" w:cs="FrankRuehl"/>
          <w:szCs w:val="34"/>
          <w:rtl/>
        </w:rPr>
        <w:t xml:space="preserve">14.</w:t>
      </w:r>
      <w:r>
        <w:rPr>
          <w:lang w:bidi="he-IL"/>
          <w:rFonts w:hint="cs" w:cs="FrankRuehl"/>
          <w:szCs w:val="26"/>
          <w:rtl/>
        </w:rPr>
        <w:tab/>
        <w:t xml:space="preserve">החליט השר לפזר את המועצה כאמור בסעיף 13, תמונה מועצה חדשה, בדרך הקבועה בסעיף 5, בתוך שישים ימים מיום הפיזור.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15.</w:t>
      </w:r>
      <w:r>
        <w:rPr>
          <w:lang w:bidi="he-IL"/>
          <w:rFonts w:hint="cs" w:cs="FrankRuehl"/>
          <w:szCs w:val="26"/>
          <w:rtl/>
        </w:rPr>
        <w:tab/>
        <w:t xml:space="preserve">קיומה של המועצה, סמכויותיה ותוקף החלטותיה ופעולותיה לא ייפגעו מחמת שנתפנה מקומו של חבר מחבריה או מחמת ליקוי במינויו או בהמשך כהונתו, ובלבד שרוב חברי המועצה מכהנים כדין.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w:t>
                </w:r>
              </w:p>
            </w:txbxContent>
          </v:textbox>
        </v:rect>
      </w:pict>
      <w:r>
        <w:rPr>
          <w:lang w:bidi="he-IL"/>
          <w:rFonts w:hint="cs" w:cs="FrankRuehl"/>
          <w:szCs w:val="34"/>
          <w:rtl/>
        </w:rPr>
        <w:t xml:space="preserve">16.</w:t>
      </w:r>
      <w:r>
        <w:rPr>
          <w:lang w:bidi="he-IL"/>
          <w:rFonts w:hint="cs" w:cs="FrankRuehl"/>
          <w:szCs w:val="26"/>
          <w:rtl/>
        </w:rPr>
        <w:tab/>
        <w:t xml:space="preserve">חברי המועצה לא יהיו זכאים לשכר בעד חברותם במועצה, אך יהיו זכאים להחזר הוצאות שיוציאו במילוי תפקידם, כפי שיקבע השר, בהסכמת שר האוצר, ובלבד שאינם זכאים לקבל ממקור אחר החזר הוצאות.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המנהל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המועצה, באישור השר, תמנה מנהל כללי למרכז, לאחר שקיימה הליך לאיתור מועמדים (בחוק זה –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ימונה לתקופה של ארבע שנים, ואפשר לשוב ולמנותו מחדש, באישור השר, לשלוש תקופות כהונה נוספות כאמור.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המנהל</w:t>
                </w:r>
              </w:p>
            </w:txbxContent>
          </v:textbox>
        </v:rect>
      </w:pict>
      <w:r>
        <w:rPr>
          <w:lang w:bidi="he-IL"/>
          <w:rFonts w:hint="cs" w:cs="FrankRuehl"/>
          <w:szCs w:val="34"/>
          <w:rtl/>
        </w:rPr>
        <w:t xml:space="preserve">18.</w:t>
      </w:r>
      <w:r>
        <w:rPr>
          <w:lang w:bidi="he-IL"/>
          <w:rFonts w:hint="cs" w:cs="FrankRuehl"/>
          <w:szCs w:val="26"/>
          <w:rtl/>
        </w:rPr>
        <w:tab/>
        <w:t xml:space="preserve">תפקידי המנהל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לנהל את המרכז – האתר, המכון והארכיון;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ליישם את החלטות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להכין את תכנית העבודה השנתית והצעת תקציב שנתי, והבאתן לאישור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לדווח למועצה על פעילויות המרכז – האתר, המכון והארכיון.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כהונת המנהל והשעייתו</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המנהל יחדל לכהן לפני תום תקופת כהונתו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החליטה על הפסקת כהונתו ברוב של שני שלישים לפחות מכלל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הורשע בעבירה אשר מפאת מהותה, חומרתה או נסיבותיה אין הוא ראוי לשמש כמנהל.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המנהל בשל עבירה שמפאת מהותה, חומרתה או נסיבותיה אין הוא ראוי לשמש כמנהל, רשאי השר להשעותו מכהונתו עד לסיום ההליך בעניינו, וימונה לו ממלא מקום למשך תקופת ההשעיה, לפי הוראות סעיף 17(א).</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 פנימי</w:t>
                </w:r>
              </w:p>
            </w:txbxContent>
          </v:textbox>
        </v:rect>
      </w:pict>
      <w:r>
        <w:rPr>
          <w:lang w:bidi="he-IL"/>
          <w:rFonts w:hint="cs" w:cs="FrankRuehl"/>
          <w:szCs w:val="34"/>
          <w:rtl/>
        </w:rPr>
        <w:t xml:space="preserve">20.</w:t>
      </w:r>
      <w:r>
        <w:rPr>
          <w:lang w:bidi="he-IL"/>
          <w:rFonts w:hint="cs" w:cs="FrankRuehl"/>
          <w:szCs w:val="26"/>
          <w:rtl/>
        </w:rPr>
        <w:tab/>
        <w:t xml:space="preserve">המועצה תמנה למרכז מבקר פנימי אשר יפעל בהתאם להוראות חוק הביקורת הפנימית, התשנ"ב-1992; המבקר הפנימי יגיש למועצה דוח על ממצאיו.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האתר ותכולתו</w:t>
                </w:r>
              </w:p>
            </w:txbxContent>
          </v:textbox>
        </v:rect>
      </w:pict>
      <w:r>
        <w:rPr>
          <w:lang w:bidi="he-IL"/>
          <w:rFonts w:hint="cs" w:cs="FrankRuehl"/>
          <w:szCs w:val="34"/>
          <w:rtl/>
        </w:rPr>
        <w:t xml:space="preserve">21.</w:t>
      </w:r>
      <w:r>
        <w:rPr>
          <w:lang w:bidi="he-IL"/>
          <w:rFonts w:hint="cs" w:cs="FrankRuehl"/>
          <w:szCs w:val="26"/>
          <w:rtl/>
        </w:rPr>
        <w:tab/>
        <w:t xml:space="preserve">המרכז יקים אתר הנצחה של מורשת גוש קטיף שיכלול תערוכה מתמדת המציגה את ההתיישבות בגוש קטיף, ובכלל זה מידע על היישובים, על חיי התושבים ועל ההתמודדות עם אתגרי התקופה.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לציבור</w:t>
                </w:r>
              </w:p>
            </w:txbxContent>
          </v:textbox>
        </v:rect>
      </w:pict>
      <w:r>
        <w:rPr>
          <w:lang w:bidi="he-IL"/>
          <w:rFonts w:hint="cs" w:cs="FrankRuehl"/>
          <w:szCs w:val="34"/>
          <w:rtl/>
        </w:rPr>
        <w:t xml:space="preserve">22.</w:t>
      </w:r>
      <w:r>
        <w:rPr>
          <w:lang w:bidi="he-IL"/>
          <w:rFonts w:hint="cs" w:cs="FrankRuehl"/>
          <w:szCs w:val="26"/>
          <w:rtl/>
        </w:rPr>
        <w:tab/>
        <w:t xml:space="preserve">באתר יתקיימו, באופן סדיר, פעילויות הנצחה ופעולות חינוך והסברה הקשורות לתחומים האמורים בסעיף 21.</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המכון</w:t>
                </w:r>
              </w:p>
            </w:txbxContent>
          </v:textbox>
        </v:rect>
      </w:pict>
      <w:r>
        <w:rPr>
          <w:lang w:bidi="he-IL"/>
          <w:rFonts w:hint="cs" w:cs="FrankRuehl"/>
          <w:szCs w:val="34"/>
          <w:rtl/>
        </w:rPr>
        <w:t xml:space="preserve">23.</w:t>
      </w:r>
      <w:r>
        <w:rPr>
          <w:lang w:bidi="he-IL"/>
          <w:rFonts w:hint="cs" w:cs="FrankRuehl"/>
          <w:szCs w:val="26"/>
          <w:rtl/>
        </w:rPr>
        <w:tab/>
        <w:t xml:space="preserve">המרכז יקים מכון מחקר; המכון יפעל להעמקתו, להעשרתו ולהפצתו של הידע בכל הקשור להתיישבות בגוש קטיף ולמורשתה, ובכלל זה מידע על היישובים, על חיי התושבים ועל ההתמודדות עם אתגרי התקופה.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המכון</w:t>
                </w:r>
              </w:p>
            </w:txbxContent>
          </v:textbox>
        </v:rect>
      </w:pict>
      <w:r>
        <w:rPr>
          <w:lang w:bidi="he-IL"/>
          <w:rFonts w:hint="cs" w:cs="FrankRuehl"/>
          <w:szCs w:val="34"/>
          <w:rtl/>
        </w:rPr>
        <w:t xml:space="preserve">24.</w:t>
      </w:r>
      <w:r>
        <w:rPr>
          <w:lang w:bidi="he-IL"/>
          <w:rFonts w:hint="cs" w:cs="FrankRuehl"/>
          <w:szCs w:val="26"/>
          <w:rtl/>
        </w:rPr>
        <w:tab/>
        <w:t xml:space="preserve">המכון יקיים פעילויות לקידום מטרות חוק זה, לרבות קבוצות מחקר, סמינרי מחקר, הרצאות פומביות וכנסים, וכן פעילויות לשם איסוף החומר הקשור לארכיון ולשאר פעילויות המרכז.</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ספריה</w:t>
                </w:r>
              </w:p>
            </w:txbxContent>
          </v:textbox>
        </v:rect>
      </w:pict>
      <w:r>
        <w:rPr>
          <w:lang w:bidi="he-IL"/>
          <w:rFonts w:hint="cs" w:cs="FrankRuehl"/>
          <w:szCs w:val="34"/>
          <w:rtl/>
        </w:rPr>
        <w:t xml:space="preserve">25.</w:t>
      </w:r>
      <w:r>
        <w:rPr>
          <w:lang w:bidi="he-IL"/>
          <w:rFonts w:hint="cs" w:cs="FrankRuehl"/>
          <w:szCs w:val="26"/>
          <w:rtl/>
        </w:rPr>
        <w:tab/>
        <w:t xml:space="preserve">המכון יקיים ויפעיל ספריית מחקר ועיון בתחומי פעילות המכון כאמור בסעיפים 23 ו-24.</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w:t>
                </w:r>
              </w:p>
            </w:txbxContent>
          </v:textbox>
        </v:rect>
      </w:pict>
      <w:r>
        <w:rPr>
          <w:lang w:bidi="he-IL"/>
          <w:rFonts w:hint="cs" w:cs="FrankRuehl"/>
          <w:szCs w:val="34"/>
          <w:rtl/>
        </w:rPr>
        <w:t xml:space="preserve">26.</w:t>
      </w:r>
      <w:r>
        <w:rPr>
          <w:lang w:bidi="he-IL"/>
          <w:rFonts w:hint="cs" w:cs="FrankRuehl"/>
          <w:szCs w:val="26"/>
          <w:rtl/>
        </w:rPr>
        <w:tab/>
        <w:t xml:space="preserve">המכון יוציא לאור פרסומים בתחומי פעילותו, כגון בספרים, במחקרים ובפרסומים באמצעים שונים, ובכלל זה בדפוס, בסרטים ובצילומים, וכן יקים ויפעיל אתר אינטרנט שיציג את פעילות המרכז.</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הארכיון</w:t>
                </w:r>
              </w:p>
            </w:txbxContent>
          </v:textbox>
        </v:rect>
      </w:pict>
      <w:r>
        <w:rPr>
          <w:lang w:bidi="he-IL"/>
          <w:rFonts w:hint="cs" w:cs="FrankRuehl"/>
          <w:szCs w:val="34"/>
          <w:rtl/>
        </w:rPr>
        <w:t xml:space="preserve">27.</w:t>
      </w:r>
      <w:r>
        <w:rPr>
          <w:lang w:bidi="he-IL"/>
          <w:rFonts w:hint="cs" w:cs="FrankRuehl"/>
          <w:szCs w:val="26"/>
          <w:rtl/>
        </w:rPr>
        <w:tab/>
        <w:t xml:space="preserve">המרכז יקים ארכיון; הארכיון יהיה חלק מהגנזך והוראות חוק הארכיונים, התשט"ו-1955, יחולו עליו.</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הטיפול בחומר ארכיוני</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הטיפול בחומר ארכיוני הנוגע ישירות לגוש קטיף שהועבר לארכיון כאמור בסעיף קטן (ב) או שנאסף על ידי המרכז יהיה נתון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הגנז ועם מנהל המרכז, יקבע בתקנות את סוגי החומר הארכיוני הנמצא בגנזך או במוסד ממוסדות המדינה אשר יועבר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חומר ארכיוני כאמור בסעיף קטן (ב) יועבר לארכיון, כמקור או בהעתק, באופן שיורה הגנז.</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הארכיון</w:t>
                </w:r>
              </w:p>
            </w:txbxContent>
          </v:textbox>
        </v:rect>
      </w:pict>
      <w:r>
        <w:rPr>
          <w:lang w:bidi="he-IL"/>
          <w:rFonts w:hint="cs" w:cs="FrankRuehl"/>
          <w:szCs w:val="34"/>
          <w:rtl/>
        </w:rPr>
        <w:t xml:space="preserve">29.</w:t>
      </w:r>
      <w:r>
        <w:rPr>
          <w:lang w:bidi="he-IL"/>
          <w:rFonts w:hint="cs" w:cs="FrankRuehl"/>
          <w:szCs w:val="26"/>
          <w:rtl/>
        </w:rPr>
        <w:tab/>
        <w:t xml:space="preserve">הממונה על הארכיון ימונה בידי המנהל, באישור הגנז, ויקבל את ההוראות וההנחיות בתחחום המקצועי מהגנז.</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לא יתמנה ולא יכהן כחבר המועצה, כחבר ועדה או כמנהל מי שעלול להימצא, במישרין או בעקיפין, במצב של ניגוד עניינים, בין תפקידו כאמור, לבין עניין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חבר ועדה, המנהל או עובד המרכז (בסעיף זה –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במרכז בנושא כאמור גם מחוץ לישיבות.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התברר לחבר כי נושא הנדון בישיבה או המטופל על ידיו עלול לגרום לו להימצא במצב של ניגוד עניינים כאמור בסעיף קטן (ב), יודיע על כך ליושב ראש המועצה, ליושב ראש הוועדה או למנהל,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
"עניין אישי" – לרבות עניין אישי של קרובו או עניין של גוף שחבר או קרובו מנהלים או עובדים אחראים בו, או עניין של גוף שיש לכל אחד מהם חלק בהון המניות שלו, בזכות לקבל רווחים, בזכות למנות מנהל או בזכות ההצבעה;
"קרוב" – בן זוג, הורה, ילד, אח או אחות או אדם אחר הסמוך על שולחנו של חבר, ובן זוגו של כל אחד מהם.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w:t>
                </w:r>
              </w:p>
            </w:txbxContent>
          </v:textbox>
        </v:rect>
      </w:pict>
      <w:r>
        <w:rPr>
          <w:lang w:bidi="he-IL"/>
          <w:rFonts w:hint="cs" w:cs="FrankRuehl"/>
          <w:szCs w:val="34"/>
          <w:rtl/>
        </w:rPr>
        <w:t xml:space="preserve">31.</w:t>
      </w:r>
      <w:r>
        <w:rPr>
          <w:lang w:bidi="he-IL"/>
          <w:rFonts w:hint="cs" w:cs="FrankRuehl"/>
          <w:szCs w:val="26"/>
          <w:rtl/>
        </w:rPr>
        <w:tab/>
        <w:t xml:space="preserve">המדינה תעמיד לרשות המרכז את המקרקעין הדרושים לפעילותו ולפעילות האתר, לפי החלטת הממשלה או שר שהממשלה תסמיך לכך.</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פעילות</w:t>
                </w:r>
              </w:p>
            </w:txbxContent>
          </v:textbox>
        </v:rect>
      </w:pict>
      <w:r>
        <w:rPr>
          <w:lang w:bidi="he-IL"/>
          <w:rFonts w:hint="cs" w:cs="FrankRuehl"/>
          <w:szCs w:val="34"/>
          <w:rtl/>
        </w:rPr>
        <w:t xml:space="preserve">32.</w:t>
      </w:r>
      <w:r>
        <w:rPr>
          <w:lang w:bidi="he-IL"/>
          <w:rFonts w:hint="cs" w:cs="FrankRuehl"/>
          <w:szCs w:val="26"/>
          <w:rtl/>
        </w:rPr>
        <w:tab/>
        <w:t xml:space="preserve">הקמת המרכז ופעילותו, לרבות הוצאות בעבור החזקת המקרקעין כאמור בסעיף 31, ימומנו כפי הדרוש להוצאות קיומו, החזקתו, פיתוחו וניהול מכלול פעילויותיו, מתקציב המדינה, בסכום שלא יפחת מ-4.5 מיליון שקלים חדשים לשנה, וכן מתרומות ומהכנסות שיהיו למרכז.</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33.</w:t>
      </w:r>
      <w:r>
        <w:rPr>
          <w:lang w:bidi="he-IL"/>
          <w:rFonts w:hint="cs" w:cs="FrankRuehl"/>
          <w:szCs w:val="26"/>
          <w:rtl/>
        </w:rPr>
        <w:tab/>
        <w:t xml:space="preserve">המועצה תאשר הצעת תקציב שנתי ותגישה לשר ולשר האוצר, לשם אישורם.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34.</w:t>
      </w:r>
      <w:r>
        <w:rPr>
          <w:lang w:bidi="he-IL"/>
          <w:rFonts w:hint="cs" w:cs="FrankRuehl"/>
          <w:szCs w:val="26"/>
          <w:rtl/>
        </w:rPr>
        <w:tab/>
        <w:t xml:space="preserve">תנאי עבודתם של עובדי המרכז יהיו כשל עובדי המדינה בתפקידים מקבילים, בתיאומים שיקבע השר, בהתייעצות עם המועצה ובאישור שר האוצר.</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המרכז לא יהא רשאי למכור או להעביר בדרך אחרת נכס שבבעלותו, למעט נכסים שפרטים לגביהם, לרבות סוגם ושוויים, נקבעו בתקנות, אלא באישור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לא יהא רשאי למשכן נכס שברשותו או להשכירו לתקופה העולה על עשר שנים, אלא באישור השר; לעניין זה, "להשכירו לתקופה העולה על עשר שנים" – לרבות שכירות המקנה זכות לחדשה או להאריכה, או שכירות לתקופה נוספת, שבהצטרפותן לתקופות השכירות הקודמות עולות יחד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המרכז לא ייטול הלוואה העולה על סכום שקבע השר בתקנות, אלא באישור השר ושר האוצר.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36.</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תחילתו של חוק זה, למעט סעיף 5, שישה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יום התחילה תמונה המועצה לפי סעיף 5, ואולם נציג הרשות המקומית שהמרכז פועל בתחומה כאמור בסעיף 5(5), ימונה לאחר שתיקבע הרשות המקומית לעניין זה, אף אם מועד זה מאוחר מיום התחילה, והוראות סעיף 15 יחולו, בשינויים המחויבים.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המרכז להנצחת מורשת גוש קטיף וצפון השומרון, תשס"ח-2008, נוסח עדכני נכון ליום 23.03.2023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52a44077e284f57" /><Relationship Type="http://schemas.openxmlformats.org/officeDocument/2006/relationships/header" Target="/word/header1.xml" Id="r97" /><Relationship Type="http://schemas.openxmlformats.org/officeDocument/2006/relationships/footer" Target="/word/footer1.xml" Id="r98" /></Relationships>
</file>