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444f2063a347e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חוזה קבלנות, תשל"ד-1974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חוזה קבלנות מהו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חיובי הצדדים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פגם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תרופות בשל פגם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זכות עכבון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קבלת הנכס והעברת הסיכון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תרופות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אי-תחולת המג'לה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עצמאות החוק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10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 והוראות מעבר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חוזה קבלנות, תשל"ד-1974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חוזה קבלנות מהו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חוזה קבלנות הוא חוזה לעשיית מלאכה או למתן שירות בשכר כשהקבלן אינו עובדו של המזמין.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חיובי הצדדים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הקבלן חייב לעשות את המלאכה או לתת את השירות והמזמין חייב לשלם את השכר, הכל לפי המוסכם בין הצדדים.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פגם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היו המלאכה או השירות בהתאם למוסכם (להלן – פגם), על המזמין להודיע לקבלן על הפגם זמן סביר לאחר שגילה אותו או שהיה עליו לגלותו, ואם הפגם ניתן לתיקון – לתת לקבלן הזדמנות נאותה לתקנו.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אין המזמין זכאי להסתמך על הפגם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אם לא קיים את המוטל עליו לפי סעיף קטן (א) זולת אם ידע הקבלן על הפגם;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אם בא הפגם מסיבה שהמזמין אחראי 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תרופות בשל פגם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תיקן הקבלן את הפגם תוך זמן סביר לאחר שהמזמין עשה כאמור בסעיף 3(א), רשאי המזמין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לתקן את הפגם ולדרוש מהקבלן החזרת הוצאותיו הסבירות;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לנכות מן השכר, כל עוד לא תוקן הפגם, את הסכום שבו פחת שווי המלאכה או השירות עקב הפגם לעומת השכר לפי המוסכם.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פגם שתיקונו דחוף עד שאין לדרוש מן המזמין שימתין לתיקונו בידי הקבלן, רשאי המזמין לתקנו כאמור בסעיף קטן (א)(1) גם בלי שעשה כאמור בסעיף 3(א).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לא ניתן הפגם לתיקון, זכאי המזמין לניכוי מן השכר כאמור בסעיף קטן (א)(2).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זכות עכבון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לקבלן תהא זכות עכבון על נכס שמסר לו המזמין לביצוע מלאכתו או למתן שירותו, כדי תשלום הסכומים המגיעים לו מן המזמין עקב עסקת הקבלנות.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קבלת הנכס והעברת הסיכון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נעשו המלאכה או השירות בנכס בידי הקבלן, חייב המזמין לקבלו במועד שהוסכם עליו, ובאין הסכם – תוך זמן סביר לאחר שהקבלן הודיע לו שגמר את המלאכה או השירות.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אבד או ניזק הנכס בעודו בידי הקבלן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אחראי הקבלן, לענין חוק השומרים, תשכ"ז-1967, כשומר שכר ששמירת הנכס אינה טפלה למטרה העיקרית של החזקתו;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פטור המזמין מתשלום השכר, זולת אם אבד או ניזק הנכס אחרי שהמזמין היה חייב לקבלו ומסיבה שהקבלן אינו אחראי 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תרופות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אין בהוראות חוק זה כדי לגרוע מתרופה אחרת בשל הפרת חוזה.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הוראות חוק זה יחולו כשאין בדין אחר הוראות מיוחדות לענין הנדון, ובאין כוונה אחרת משתמעת מן ההסכם בין הצדדים.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חוזה להספקת נכס שיש להפיקו או לייצרו והקבלן קיבל עליו לתת את עיקר החמרים הדרושים לכך, יחולו הוראות חוק המכר, תשכ"ח-1968.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אי-תחולת המג'לה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בענינים שחוק זה דן בהם לא יחול הספר השני של המג'לה.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עצמאות החוק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10.</w:t>
      </w:r>
      <w:r>
        <w:rPr>
          <w:lang w:bidi="he-IL"/>
          <w:rFonts w:hint="cs" w:cs="FrankRuehl"/>
          <w:szCs w:val="26"/>
          <w:rtl/>
        </w:rPr>
        <w:tab/>
        <w:t xml:space="preserve">בענינים שחוק זה דן בהם לא יחול סימן 46 לדבר המלך במועצתו לארץ-ישראל, 1947-⁠1922.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 והוראות מעבר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11.</w:t>
      </w:r>
      <w:r>
        <w:rPr>
          <w:lang w:bidi="he-IL"/>
          <w:rFonts w:hint="cs" w:cs="FrankRuehl"/>
          <w:szCs w:val="26"/>
          <w:rtl/>
        </w:rPr>
        <w:tab/>
        <w:t xml:space="preserve">תחילתו של חוק זה ביום א' בחשון תשל"ה (17 באוקטובר 1974); על חוזה קבלנות שנעשה לפני תחילתו יוסיף לחול הדין הקודם.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י' צדוק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רבין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אפרים קציר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חוזה קבלנות, תשל"ד-1974,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da2f6e96d3142a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