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31653bb5664456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מס להפחתת גודש התנועה באזור גוש דן, תשפ"ב-2021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ג':טבעות חיוב ושערים</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טבעות חיוב</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גבול טבעות החיוב</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מוקד הגודש</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השערים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מיקומי השערים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בשל חציית שערים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ד':קביעת סכום המס ושעות הגודש</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מדידת מהירות הנסיעה הממוצעת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 למדד</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ה':סכום החיוב במס</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מחיוב במס לרכב מסוג מסוים ולרכב רב-תפוסה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ו':ועדת יישום</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ועדת היישום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ועדת היישום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ועדת היישום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עבודתה ודיוניה של ועדת היישום</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ז':החברה הממונה</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החברה הממונה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החברה הממונה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התקשרות לשם ביצוע תפקידים</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התקשרות עם חייב</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של רשות תמרור מקומית</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רשות מקומית לחברה הממונה</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ח':מערכת הגבייה והמידע בה</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מערכת הגבייה</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מערכת הגבייה ותכנונה</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הרשאות גישה למערכת הגבייה</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המידע שמועבר למערכת הגבייה</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הרשאת גישה למידע המפורט</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מידע מפורט במסגרת פנייה</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מידע מפורט במסגרת בירור</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השימוש במידע שבמערכת הגבייה</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הגנת הפרטיות לעניין צילומי רכב ומצלמות</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מחיקת מידע מהמצלמות</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מחיקת מידע ממערכת הגבייה</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 והגבלת העברת המידע</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יידוע הציבור</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 לעניין הגנת הפרטיות</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ט':ערר ואכיפת תשלום</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הוראות חוק בתי דין מינהליים</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רשומה אלקטרונית – ראיה קבילה</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י':הוראות שונות</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השקעה בתחבורה ציבורית</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בתי דין מינהליים – מס' 18</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 ראשונות</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פעולות ראשונות</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לכנסת</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bl>
        <w:br w:type="page"/>
      </w:r>
    </w:p>
    <w:p>
      <w:pPr>
        <w:bidi/>
        <w:spacing w:before="45" w:after="70" w:line="250" w:lineRule="auto"/>
        <w:jc w:val="center"/>
      </w:pPr>
      <w:defaultTabStop w:val="720"/>
      <w:r>
        <w:rPr>
          <w:lang w:bidi="he-IL"/>
          <w:rFonts w:hint="cs" w:cs="FrankRuehl"/>
          <w:szCs w:val="32"/>
          <w:rtl/>
        </w:rPr>
        <w:t xml:space="preserve">חוק מס להפחתת גודש התנועה באזור גוש דן, תשפ"ב-2021</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רכב" – הבעל הרשום ברישיון הרכב במועד הנסיעה שבשלה נוצר חיוב במס, אלא אם כן הוכיח שהרכב נגנב ממנו;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"הודעת חיוב" – כמשמעותה לפי סעיף 33;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יישום" – כמשמעותה לפי סעיף 20;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"החברה הממונה" – כמשמעותה לפי סעיף 24;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"חייב" – בעל רכב החב בתשלום מס;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"טבעת חיוב" – כמשמעותה לפי סעיף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"יום עסקים" – יום מימי השבוע, למעט כל אלה: יום שישי, יום מנוחה כמשמעותו בסעיף 18א(א) לפקודת סדרי השלטון והמשפט, התש"ח-1948, וערב יום מנוחה כאמור, חול המועד ויום שבתון שנקבע בחיקוק;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"כביש" – כהגדרתו לפי פקודת התעבורה, לרבות שולי הדרך;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"מוקד הגודש" – כמשמעותו בסעיף 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רשות המסים" – המנהל כהגדרתו בפקודת מס הכנסה;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 – מס גודש כמשמעותו לפי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הגבייה" – כמשמעותה בסעיף 29;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"מפעיל פרטי" – כמשמעותו בסעיף 25(ב);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"סכום החיוב היומי המרבי" – כמשמעותו בסעיף 16;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"רכב מנועי" – כהגדרתו בפקודת התעבורה, המצוי בנסיעה;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"רכב ביטחון" – כהגדרתו לפי פקודת התעבורה, המשמש בפעילות מבצעית או ביטחונית בלבד, גם כשאינו מפיץ בפנס מיוחד אור מהבהב או משמיע אות אזעקה בסירנה, אשר נרשם טרם מועד החיוב במס;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"שעות הגודש" – טווח שעות הנסיעה כאמור בטור א' לתוספת השנייה;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"שער" – מעבר ובו מצלמה שבאמצעותה תתועד חציית רכב את גבול טבעת החיוב, וכל מיתקן אחר שיוקם לשם הצבתה והפעלתה וכן כל חיבור נלווה אליה;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"שר התחבורה" – שר התחבורה והבטיחות בדרכים;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"השרים" – שר האוצר ושר התחבורה.</w:t>
      </w:r>
    </w:p>
    <w:p>
      <w:pPr>
        <w:bidi/>
        <w:spacing w:before="70" w:after="5" w:line="250" w:lineRule="auto"/>
        <w:jc w:val="center"/>
      </w:pPr>
      <w:defaultTabStop w:val="720"/>
      <w:r>
        <w:rPr>
          <w:lang w:bidi="he-IL"/>
          <w:rFonts w:hint="cs" w:cs="FrankRuehl"/>
          <w:szCs w:val="26"/>
          <w:b/>
          <w:bCs/>
          <w:rtl/>
        </w:rPr>
        <w:t xml:space="preserve">פרק ג':טבעות חיוב ושערים</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טבעות חיוב</w:t>
                </w:r>
              </w:p>
            </w:txbxContent>
          </v:textbox>
        </v:rect>
      </w:pict>
      <w:r>
        <w:rPr>
          <w:lang w:bidi="he-IL"/>
          <w:rFonts w:hint="cs" w:cs="FrankRuehl"/>
          <w:szCs w:val="34"/>
          <w:rtl/>
        </w:rPr>
        <w:t xml:space="preserve">4.</w:t>
      </w:r>
      <w:r>
        <w:rPr>
          <w:lang w:bidi="he-IL"/>
          <w:rFonts w:hint="cs" w:cs="FrankRuehl"/>
          <w:szCs w:val="26"/>
          <w:rtl/>
        </w:rPr>
        <w:tab/>
        <w:t xml:space="preserve">טבעות החיוב יהיו שלושה תחומים טבעתיים באזור גוש דן, שגבולותיהם מסומנים בתוספת הראשונה, בהתאם למידת קרבתם אל מרכז העיר תל-אביב-יפו: טבעת חיוב פנימית, טבעת חיוב אמצעית וטבעת חיוב חיצונית.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גבול טבעות החיוב</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שר האוצר, לאחר התייעצות עם שר התחבורה ועם ועדת היישום ובאישור ועדת הכספים של הכנסת, רשאי, בצו, לשנות בתוספת הראשונה גבול של טבעת חיוב, בכפוף להוראות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גבול טבעת החיוב הפנימית – יהיה רציף, ככל הניתן על גבי כבישים, ויכלול את מוקד הגודש שיקבע שר האוצר לפי הוראות סעיף 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גבול טבעת החיוב האמצעית – יהיה רציף, ככל הניתן על גבי כבישים ראשיים, ומרחקו בקו אווירי מהנקודה הקרובה ביותר על גבי הטבעת הפנימית לא יחרוג מטווח של בין 2 ל-7 קילומטרים;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גבול טבעת החיוב החיצונית – יהיה רציף, ככל הניתן על גבי כבישים ראשיים, ומרחקו בקו אווירי מהנקודה הקרובה ביותר על גבי הטבעת הפנימית לא יחרוג מטווח של בין 5 ל-13 קילומטרים.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"כביש ראשי" – כביש שיש בו שני נתיבים לפחות.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מוקד הגודש</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מוקד הגודש ייקבע כאמור בסעיף 5(א)(1) כאזור שמתקיימים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האזור מוכל ברובו בגבולות גלעין מטרופולין תל-אביב, כמשמעותו בהודעת הלשכה המרכזית לסטטיסטיקה;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האזור כולל שטח רציף של 8 קילומטר מרובע לפחות שבו מספר מקומות העבודה עולה על 15,000 לקילומטר מרובע;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האזור כולל 20% לפחות ממספר מקומות העבודה באזור טבעות החיוב.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"הודעת הלשכה המרכזית לסטטיסטיקה" – הודעת הלשכה המרכזית לסטטיסטיקה המגדירה את המטרופולינים בישראל בעקבות מפקד האוכלוסין של שנת 2008, שפורסמה באתר האינטרנט של הלשכה;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"מספר מקומות העבודה" – בהתאם לנתוני הודעת הלשכה המרכזית לסטטיסטיקה, כפי שמתעדכנים מעת לעת.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השערים</w:t>
                </w:r>
              </w:p>
            </w:txbxContent>
          </v:textbox>
        </v:rect>
      </w:pict>
      <w:r>
        <w:rPr>
          <w:lang w:bidi="he-IL"/>
          <w:rFonts w:hint="cs" w:cs="FrankRuehl"/>
          <w:szCs w:val="34"/>
          <w:rtl/>
        </w:rPr>
        <w:t xml:space="preserve">7.</w:t>
      </w:r>
      <w:r>
        <w:rPr>
          <w:lang w:bidi="he-IL"/>
          <w:rFonts w:hint="cs" w:cs="FrankRuehl"/>
          <w:szCs w:val="26"/>
          <w:rtl/>
        </w:rPr>
        <w:tab/>
        <w:t xml:space="preserve">לשם חיוב במס לפי הוראות חוק זה, יוצבו על תוואי גבולות טבעות החיוב שערים שיתעדו את נסיעת כלי הרכב החוצים את גבולות טבעות החיוב.</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מיקומי השערים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שר האוצר, לאחר התייעצות עם שר התחבורה, יקבע, בצו, על גבי גבולות טבעות החיוב המסומנים בתוספת הראשונה, את המקומות שבהם יוצבו השערים.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שר האוצר, לאחר התייעצות עם שר התחבורה, רשאי, מטעמים תפעוליים בלבד, לקבוע מיקום שער בסטייה מגבול טבעת החיוב, ובלבד שמיקום השער לא ירחק מ-700 מטרים בקו אווירי מהנקודה הקרובה ביותר על תוואי טבעת החיוב שאת חצייתה הוא נועד לתעד.</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בשל חציית שערים</w:t>
                </w:r>
              </w:p>
            </w:txbxContent>
          </v:textbox>
        </v:rect>
      </w:pict>
      <w:r>
        <w:rPr>
          <w:lang w:bidi="he-IL"/>
          <w:rFonts w:hint="cs" w:cs="FrankRuehl"/>
          <w:szCs w:val="34"/>
          <w:rtl/>
        </w:rPr>
        <w:t xml:space="preserve">9.</w:t>
      </w:r>
      <w:r>
        <w:rPr>
          <w:lang w:bidi="he-IL"/>
          <w:rFonts w:hint="cs" w:cs="FrankRuehl"/>
          <w:szCs w:val="26"/>
          <w:rtl/>
        </w:rPr>
        <w:tab/>
        <w:t xml:space="preserve">שר האוצר, לאחר התייעצות עם שר התחבורה ובאישור ועדת הכספים של הכנסת, יקבע, בצו, רשימה של קבוצות שערים שחצייתם, בתוך פרק זמן נתון שיקבע, בשעות הגודש, לא תחויב במס או שתחויב רק בעד חציית חלקם.</w:t>
      </w:r>
    </w:p>
    <w:p>
      <w:pPr>
        <w:bidi/>
        <w:spacing w:before="70" w:after="5" w:line="250" w:lineRule="auto"/>
        <w:jc w:val="center"/>
      </w:pPr>
      <w:defaultTabStop w:val="720"/>
      <w:r>
        <w:rPr>
          <w:lang w:bidi="he-IL"/>
          <w:rFonts w:hint="cs" w:cs="FrankRuehl"/>
          <w:szCs w:val="26"/>
          <w:b/>
          <w:bCs/>
          <w:rtl/>
        </w:rPr>
        <w:t xml:space="preserve">פרק ד':קביעת סכום המס ושעות הגודש</w:t>
      </w:r>
      <w:bookmarkStart w:name="h10" w:id="10"/>
      <w:bookmarkEnd w:id="10"/>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מדידת מהירות הנסיעה הממוצעת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הלשכה המרכזית לסטטיסטיקה תפרסם אחת לשנה, עד יום 1 בספטמבר, את מדדי מהירות הנסיעה הממוצעת שהפקתם נדרשת לפי הוראות חוק זה (בסעיף זה – מדדי המהירות), כפי שנמדדו בתקופה שמיום 1 ביוני עד יום 31 במאי שקדמה למועד הפרסום, בהתאם לשיטת המדידה שיקבע הסטטיסטיקן הלאומי וכפי שיעדכנה מעת לעת.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לשם קיום הוראות סעיף קטן (א), הסטטיסטיקן הלאומי יקבע את שיטת המדידה, ובעניינים הנוגעים לתחום התחבורה – לאחר התייעצות עם המפקח על התעבורה במשרד התחבורה והבטיחות בדרכים, ובין היתר הוראות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סוג ומספר האמצעים הטכנולוגיים שישמשו להפקת מדדי המהירות;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מיקומם הגאוגרפי של האמצעים הטכנולוגיים שישמשו להפקת מדדי המהירות;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סוג ומבנה של הנתונים הדרושים לשם קביעת מדדי המהירות;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ניתוח ממוצעי המהירות.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הוראות כאמור בסעיפים קטנים (א) ו-(ב) יבטיחו כי הפקת מדדי המהירות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לא תהיה כרוכה בזיהוי כלי רכב מסוימים, אלא אם כן מדובר באמצעי טכנולוגי שהותקן בכלי רכב בהסכמה כאמור בסעיף זה;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לא תאפשר את זיהוי הנוסעים בכלי רכב או עוברי דרך אחרים, ואת איתור מיקומו של כלי רכב מזוהה שלא בעת חציית טבעת חיוב;</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תיעשה באופן שמצמצם העברת נתונים בין גורמים שונים ואת משך שמירתם;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בסעיף 37, הסטטיסטיקן הלאומי רשאי להשתמש בנתונים שהועברו לו לפי סעיף זה לביצוע פעולות סטטיסטיות, ובלבד שנתונים הניתנים לזיהוי לא יישמרו לפרק זמן העולה על הנדרש לביצוע תפקידיו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נתונים הדרושים ליישום סעיפים קטנים (א) ו-(ב) יועברו ללשכה המרכזית לסטטיסטיקה על ידי רשות המסים או משרד התחבורה והבטיחות בדרכים, באמצעות החברה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החברה הממונה תתקין ותתפעל את האמצעים הטכנולוגיים שישמשו להפקת מדדי המהירות בהתאם להוראות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רשות המסים או משרד התחבורה והבטיחות בדרכים, באמצעות החברה הממונה, ימסרו ללשכה המרכזית לסטטיסטיקה, אחת לשנה, עד ליום ה-1 ביוני, את הנתונים הדרושים לקביעת מדדי המהירות.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בסעיף זה, "אמצעי טכנולוגי" – אמצעי למדידת מהירות כלי רכב, ובכלל זה מצלמות, ובלבד שלא יותקן על כלי רכב, למעט אמצעי המותקן על כלי רכב בהסכמה שלא ניתן תמורתה דבר בעל ערך כספי משמעותי, ובמספר כלי רכב שלא יעלה על הנדרש לשם מילוי תפקידה של הלשכה המרכזית לסטטיסטיקה לפי סעיף זה.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 למדד</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סכומי המס יעודכנו לפי שיעור השינוי של המדד החדש לעומת המדד הבסיסי.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 השכר הממוצע כמשמעותו בסעיף 1 לחוק הביטוח הלאומי [נוסח משולב], התשנ"ה-1995;</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לאחרונה לפני יום העדכון;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הבסיסי" – המדד שפורסם לאחרונה לפני היום הקובע כמשמעותו בסעיף 56(ב).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סכום שעודכן כאמור בסעיף זה יעוגל לחצי השקל החדש הקרוב וסכום של 25 אגורות או 75 אגורות יעוגלו כלפי מטה.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עדכון הסכום כאמור בסעיף קטן (א) ייעשה על בסיס הסכום שנקבע ליום העדכון הקודם, לפני שעוגל לפי סעיף קטן (ג).</w:t>
      </w:r>
    </w:p>
    <w:p>
      <w:pPr>
        <w:bidi/>
        <w:spacing w:before="70" w:after="5" w:line="250" w:lineRule="auto"/>
        <w:jc w:val="center"/>
      </w:pPr>
      <w:defaultTabStop w:val="720"/>
      <w:r>
        <w:rPr>
          <w:lang w:bidi="he-IL"/>
          <w:rFonts w:hint="cs" w:cs="FrankRuehl"/>
          <w:szCs w:val="26"/>
          <w:b/>
          <w:bCs/>
          <w:rtl/>
        </w:rPr>
        <w:t xml:space="preserve">פרק ה':סכום החיוב במס</w:t>
      </w:r>
      <w:bookmarkStart w:name="h13" w:id="13"/>
      <w:bookmarkEnd w:id="13"/>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מחיוב במס לרכב מסוג מסוים ולרכב רב-תפוסה</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שר האוצר, לאחר התייעצות עם שר התחבורה ובאישור ועדת הכספים של הכנסת, יהיה רשאי, בצו המתקן את התוספת השלישית, לפטור מתשלום מס, כולו או חלקו, סוג רכב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לא יפטור השר מתשלום מס רכב רב-תפוסה, אלא לאחר שיוסדר בדין אמצעי המאפשר למנות את מספר הנוסעים ברכב; לעניין זה, "רכב רב-תפוסה" – רכב שנוסעים בו לכל הפחות מספר אנשים כפי שיקבע שר האוצר בהסכמת שר התחבורה.</w:t>
      </w:r>
    </w:p>
    <w:p>
      <w:pPr>
        <w:bidi/>
        <w:spacing w:before="70" w:after="5" w:line="250" w:lineRule="auto"/>
        <w:jc w:val="center"/>
      </w:pPr>
      <w:defaultTabStop w:val="720"/>
      <w:r>
        <w:rPr>
          <w:lang w:bidi="he-IL"/>
          <w:rFonts w:hint="cs" w:cs="FrankRuehl"/>
          <w:szCs w:val="26"/>
          <w:b/>
          <w:bCs/>
          <w:rtl/>
        </w:rPr>
        <w:t xml:space="preserve">פרק ו':ועדת יישום</w:t>
      </w:r>
      <w:bookmarkStart w:name="h15" w:id="15"/>
      <w:bookmarkEnd w:id="15"/>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ועדת היישום</w:t>
                </w:r>
              </w:p>
            </w:txbxContent>
          </v:textbox>
        </v:rect>
      </w:pict>
      <w:r>
        <w:rPr>
          <w:lang w:bidi="he-IL"/>
          <w:rFonts w:hint="cs" w:cs="FrankRuehl"/>
          <w:szCs w:val="34"/>
          <w:rtl/>
        </w:rPr>
        <w:t xml:space="preserve">19.</w:t>
      </w:r>
      <w:r>
        <w:rPr>
          <w:lang w:bidi="he-IL"/>
          <w:rFonts w:hint="cs" w:cs="FrankRuehl"/>
          <w:szCs w:val="26"/>
          <w:rtl/>
        </w:rPr>
        <w:tab/>
        <w:t xml:space="preserve">תוקם ועדת יישום אשר תמלא את התפקידים שנקבעו לה לפי חוק זה.</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ועדת היישום</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הוועדה תהיה בת ארבעה חברים, והם: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הממונה על התקציבים במשרד האוצר, או עובד אגף התקציבים במשרד האוצר שהוא ימנה, והוא יהיה יושב הראש;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המנהל הכללי של משרד התחבורה והבטיחות בדרכים או עובד המשרד שהוא ימנה;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עובד רשות המסים שימנה מנהל רשות המסים;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עובד הרשות הארצית לתחבורה ציבורית שבמשרד התחבורה והבטיחות בדרכים שימנה שר התחבורה.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נציג החברה הממונה ישמש משקיף בוועדה.</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ועדת היישום</w:t>
                </w:r>
              </w:p>
            </w:txbxContent>
          </v:textbox>
        </v:rect>
      </w:pict>
      <w:r>
        <w:rPr>
          <w:lang w:bidi="he-IL"/>
          <w:rFonts w:hint="cs" w:cs="FrankRuehl"/>
          <w:szCs w:val="34"/>
          <w:rtl/>
        </w:rPr>
        <w:t xml:space="preserve">21.</w:t>
      </w:r>
      <w:r>
        <w:rPr>
          <w:lang w:bidi="he-IL"/>
          <w:rFonts w:hint="cs" w:cs="FrankRuehl"/>
          <w:szCs w:val="26"/>
          <w:rtl/>
        </w:rPr>
        <w:tab/>
        <w:t xml:space="preserve">תפקידי ועדת היישום יהיו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לייעץ לשרים בדבר שינוי גבול טבעות החיוב לפי סעיף 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לייעץ לשרים בדבר דחיית היום הקובע לפי סעיף 56(ג);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לבחון נתונים בדבר השפעות המס ולייעץ לשרים, לפי הצורך, על שינויים וצעדים משלימים, לרבות בחינת האפשרות לתשלום לפי מרחק הנסיעה;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לפרסם לציבור, באמצעות מנהל רשות המסים, אחת לשנה לפחות, נתונים בדבר השפעת גביית המס על מהירות הנסיעה הממוצעת כהגדרתה בסעיף 10, מספר כלי הרכב העוברים בשערים וכן נתונים בדבר הכנסות המדינה השנתיות מהמס.</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עבודתה ודיוניה של ועדת היישום</w:t>
                </w:r>
              </w:p>
            </w:txbxContent>
          </v:textbox>
        </v:rect>
      </w:pict>
      <w:r>
        <w:rPr>
          <w:lang w:bidi="he-IL"/>
          <w:rFonts w:hint="cs" w:cs="FrankRuehl"/>
          <w:szCs w:val="34"/>
          <w:rtl/>
        </w:rPr>
        <w:t xml:space="preserve">22.</w:t>
      </w:r>
      <w:r>
        <w:rPr>
          <w:lang w:bidi="he-IL"/>
          <w:rFonts w:hint="cs" w:cs="FrankRuehl"/>
          <w:szCs w:val="26"/>
          <w:rtl/>
        </w:rPr>
        <w:tab/>
        <w:t xml:space="preserve">ועדת היישום תקבע את סדרי עבודתה ודיוניה.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70" w:after="5" w:line="250" w:lineRule="auto"/>
        <w:jc w:val="center"/>
      </w:pPr>
      <w:defaultTabStop w:val="720"/>
      <w:r>
        <w:rPr>
          <w:lang w:bidi="he-IL"/>
          <w:rFonts w:hint="cs" w:cs="FrankRuehl"/>
          <w:szCs w:val="26"/>
          <w:b/>
          <w:bCs/>
          <w:rtl/>
        </w:rPr>
        <w:t xml:space="preserve">פרק ז':החברה הממונה</w:t>
      </w:r>
      <w:bookmarkStart w:name="h20" w:id="20"/>
      <w:bookmarkEnd w:id="20"/>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החברה הממונה</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השרים, באישור הממשלה, ימנו חברה ממשלתית או חברת בת ממשלתית, כהגדרתן בחוק החברות הממשלתיות, התשל"ה-1975, אשר תמלא את התפקידים שנקבעו לה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מינוי החברה הממונה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החברה הממונה תפעל לפי הנחיות מנהל רשות המסים לעניין חוק זה, אולם הנחיות מנהל רשות המסים לעניין תכנון והקמת השערים כאמור בסעיף 24(1) ייקבעו לאחר התייעצות עם המנהל הכללי של משרד התחבורה והבטיחות בדרכים.</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החברה הממונה</w:t>
                </w:r>
              </w:p>
            </w:txbxContent>
          </v:textbox>
        </v:rect>
      </w:pict>
      <w:r>
        <w:rPr>
          <w:lang w:bidi="he-IL"/>
          <w:rFonts w:hint="cs" w:cs="FrankRuehl"/>
          <w:szCs w:val="34"/>
          <w:rtl/>
        </w:rPr>
        <w:t xml:space="preserve">24.</w:t>
      </w:r>
      <w:r>
        <w:rPr>
          <w:lang w:bidi="he-IL"/>
          <w:rFonts w:hint="cs" w:cs="FrankRuehl"/>
          <w:szCs w:val="26"/>
          <w:rtl/>
        </w:rPr>
        <w:tab/>
        <w:t xml:space="preserve">תפקידי החברה הממונה 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תכנון, הקמה, תפעול ואחזקה של אמצעים הנדרשים לגביית המס, לרבות של מערך השערים; לעניין זה, "מערך שערים" – כלל השערים הפרוסים לאורך שלוש טבעות החיוב, לרבות כל שילוט, מצלמה, תמרור או מיתקן אחר שיוקם לשם תפעול המערך וכן כל חיבור נלווה אליהם;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תכנון, הקמה, תפעול ואחזקה של מערכת הגבייה בעבור רשות המסים, לרבות הפקה ומסירה של הודעות חיוב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תכנון, הקמה ותפעול של מוקד שירות לקוחות לעניין גביית המס;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מתן הנחיות למפעילים פרטיים ובקרה על פעילותם כאמור בסעיף 25(ב);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פרסום מידע לציבור בעניין המס; לעניין זה "מידע" – למעט ידיעות הנוגעות לענייניו הפרטיים של אדם, כמשמעותם בחוק הגנת הפרטיות,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כל תפקיד אחר שיוטל עליה לפי הוראות חוק זה.</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התקשרות לשם ביצוע תפקידים</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החברה הממונה רשאית להתקשר עם גורמים שונים, ובכלל זה רשויות ממשלתיות, רשויות מקומיות וגורמים פרטיים, לשם ביצוע תפקידיה לפי חוק זה, ובין השאר לשם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רכישה ותפעול של אמצעים הנדרשים למילוי תפקידי החברה לפי סעיף 24(1) עד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הפקת הודעות חיוב מטעם רשות המסים;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הפעלת מוקד שירות לקוחות.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התקשרה החברה הממונה לשם ביצוע תפקידה עם גורם פרטי (בחוק זה – מפעיל פרטי), יהיו פעולותיו טכניות באופיין ולא תופקד בידי החברה או בידי המפעיל הפרטי סמכות המצריכה הפעלת שיקול דעת.</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התקשרות עם חייב</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חייב יהיה רשאי להתקשר בהסכם בכתב עם החברה הממונה שלפיו רשאית החברה לגבות את המס באמצעות חיוב אמצעי תשלום או הרשאה לחיוב, כהגדרתם בחוק שירותי תשלום, התשע"ט-2019.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אדם יהיה רשאי להתקשר בהסכם בכתב עם החברה הממונה שלפיו יישא בתשלום עבור בעל רכב, דרך קבע או עבור נסיעה מסוימת.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האוצר יקבע בתקנות הוראות לעניין סעיף זה.</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של רשות תמרור מקומית</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לשם מילוי תפקידיה לפי סעיף 24(1) ולשם מדידת המהירויות לפי סעיף 14(ה) תהיה לחברה הממונה סמכות של רשות תימרור מקומית, לעניין קביעת הסדר תנועה הנדרש לשם גביית המס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החברה הממונה תהיה אחראית להצבתו, התקנתו, הפעלתו, סימונו, רישומו ואחזקתו של כל הסדר תנועה שנקבע בסעיף קטן (א),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בעניינים שבהם יש לחברה הממונה סמכות של רשות תמרור מקומית לפי סעיף קטן (א), לא תהיה סמכות מקבילה לכל רשות תימרור מקומית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"רשות תימרור מקומית", ו"הסדר תנועה" – כמשמעותם לפי פקודת התעבורה.</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רשות מקומית לחברה הממונה</w:t>
                </w:r>
              </w:p>
            </w:txbxContent>
          </v:textbox>
        </v:rect>
      </w:pict>
      <w:r>
        <w:rPr>
          <w:lang w:bidi="he-IL"/>
          <w:rFonts w:hint="cs" w:cs="FrankRuehl"/>
          <w:szCs w:val="34"/>
          <w:rtl/>
        </w:rPr>
        <w:t xml:space="preserve">28.</w:t>
      </w:r>
      <w:r>
        <w:rPr>
          <w:lang w:bidi="he-IL"/>
          <w:rFonts w:hint="cs" w:cs="FrankRuehl"/>
          <w:szCs w:val="26"/>
          <w:rtl/>
        </w:rPr>
        <w:tab/>
        <w:t xml:space="preserve">רשות מקומית לא תתנה, במישרין או בעקיפין, מתן אישור הנדרש לחברה הממונה לשם ביצוע תפקידיה לפי חוק זה, בעניין שאינו נוגע במישרין לאישור האמור; שר התחבורה יהיה רשאי לקבוע הוראות לעניין קציבת התקופה למתן אישור כאמור.</w:t>
      </w:r>
    </w:p>
    <w:p>
      <w:pPr>
        <w:bidi/>
        <w:spacing w:before="70" w:after="5" w:line="250" w:lineRule="auto"/>
        <w:jc w:val="center"/>
      </w:pPr>
      <w:defaultTabStop w:val="720"/>
      <w:r>
        <w:rPr>
          <w:lang w:bidi="he-IL"/>
          <w:rFonts w:hint="cs" w:cs="FrankRuehl"/>
          <w:szCs w:val="26"/>
          <w:b/>
          <w:bCs/>
          <w:rtl/>
        </w:rPr>
        <w:t xml:space="preserve">פרק ח':מערכת הגבייה והמידע בה</w:t>
      </w:r>
      <w:bookmarkStart w:name="h27" w:id="27"/>
      <w:bookmarkEnd w:id="27"/>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מערכת הגבייה</w:t>
                </w:r>
              </w:p>
            </w:txbxContent>
          </v:textbox>
        </v:rect>
      </w:pict>
      <w:r>
        <w:rPr>
          <w:lang w:bidi="he-IL"/>
          <w:rFonts w:hint="cs" w:cs="FrankRuehl"/>
          <w:szCs w:val="34"/>
          <w:rtl/>
        </w:rPr>
        <w:t xml:space="preserve">29.</w:t>
      </w:r>
      <w:r>
        <w:rPr>
          <w:lang w:bidi="he-IL"/>
          <w:rFonts w:hint="cs" w:cs="FrankRuehl"/>
          <w:szCs w:val="26"/>
          <w:rtl/>
        </w:rPr>
        <w:tab/>
        <w:t xml:space="preserve">רשות המסים תגבה את המס, לרבות על ידי החברה הממונה, באמצעות מערכת המופעלת באופן אלקטרוני או באופן אחר (בחוק זה – מערכת הגבייה).</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מערכת הגבייה ותכנונה</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החברה הממונה תנהל את מערכת הגבייה בעבור רשות המסים, בהנחייתה ובפיקוחה.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מערכת הגבייה תתוכנן באופן שימנע ככל הניתן את הסיכון לפגיעה בפרטיות החייבים.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מערכת הגבייה לא תקושר לכל מאגר מידע אחר אלא במידה הנדרשת ליישום הוראות חוק זה.</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הרשאות גישה למערכת הגבייה</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רשות המסים תיתן הרשאות גישה למערכת הגבייה לבעל תפקיד בחברה הממונה או במפעיל הפרטי בלבד, בהתאם למדיניות שתגבש, ובאופן שימזער, ככל האפשר, את הסיכון לפגיעה בפרטיותו של החייב, בשים לב לחלופות טכנולוגיות אפשריות למתן הרשאות גישה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תותר גישה למידע במערכת הגבייה אלא למי שקיבל הרשאה כאמור בסעיף קטן (א).</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המידע שמועבר למערכת הגבייה</w:t>
                </w:r>
              </w:p>
            </w:txbxContent>
          </v:textbox>
        </v:rect>
      </w:pict>
      <w:r>
        <w:rPr>
          <w:lang w:bidi="he-IL"/>
          <w:rFonts w:hint="cs" w:cs="FrankRuehl"/>
          <w:szCs w:val="34"/>
          <w:rtl/>
        </w:rPr>
        <w:t xml:space="preserve">32.</w:t>
      </w:r>
      <w:r>
        <w:rPr>
          <w:lang w:bidi="he-IL"/>
          <w:rFonts w:hint="cs" w:cs="FrankRuehl"/>
          <w:szCs w:val="26"/>
          <w:rtl/>
        </w:rPr>
        <w:tab/>
        <w:t xml:space="preserve">מצלמות השערים יעבירו למערכת הגבייה, ואליה בלבד, את המידע המפורט להלן בנוגע לחצייה של רכב את אחת מטבעות החיוב: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תאריך החצייה;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כיוון נסיעת הרכב בעת החצייה;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שעת החצייה;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מקום החצייה;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מספר לוחית הרישוי של הרכב החוצה;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צילום הרכב החוצה.</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הרשאת גישה למידע המפורט</w:t>
                </w:r>
              </w:p>
            </w:txbxContent>
          </v:textbox>
        </v:rect>
      </w:pict>
      <w:r>
        <w:rPr>
          <w:lang w:bidi="he-IL"/>
          <w:rFonts w:hint="cs" w:cs="FrankRuehl"/>
          <w:szCs w:val="34"/>
          <w:rtl/>
        </w:rPr>
        <w:t xml:space="preserve">34.</w:t>
      </w:r>
      <w:r>
        <w:rPr>
          <w:lang w:bidi="he-IL"/>
          <w:rFonts w:hint="cs" w:cs="FrankRuehl"/>
          <w:szCs w:val="26"/>
          <w:rtl/>
        </w:rPr>
        <w:tab/>
        <w:t xml:space="preserve">רשות המסים תיתן הרשאת גישה לפי הוראות סעיף 31, למידע האמור בסעיף 32(3) עד (6) (בפרק זה – המידע המפורט) לבעל התפקיד המתאים ברשות המסים, בחברה הממונה או במפעיל הפרטי שאיתו התקשרה החברה הממונה לשם כך, בכל אחד ממקרים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הוגש ערר מטעם החייב כאמור בסעיף 44;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הוגשה פנייה מטעם החייב כאמור בסעיפים 35 או 36 שטיפול בה מצריך גישה למידע המפורט;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מקרים אחרים שהשרים רשאים לקבוע בתקנות, באישור ועדת הכספים של הכנסת.</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מידע מפורט במסגרת פנייה</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חייב המבקש לקבל מידע מפורט, יפנה לחברה הממונה או למפעיל הפרטי, לפי העניין, אשר יעבירו אליו בכתב את המידע בתוך 30 ימים מיום הפנייה; ביקש החייב לקבל את המידע המפורט באופן קבוע – יעבירו לו את המידע בהודעות החיוב; חייב לא יחויב בתשלום בעד קבלת מידע מפורט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כאמור מטעם החייב תקנה לחברה הממונה או למפעיל הפרטי הרשאת גישה למידע המפורט, ללא הרשאת צפייה.</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מידע מפורט במסגרת בירור</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חייב המבקש לערוך בירור בנוגע להודעת חיוב יפנה לחברה הממונה או למפעיל הפרטי, לפי העניין, אשר יקיימו בדיקה לגבי בקשתו ויעבירו אליו בכתב את המידע המפורט הנוגע להודעת החיוב בתוך 30 ימים מיום הפנייה; חייב לא יחויב בתשלום בעד עריכת בירור לגבי הודעת חיוב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החברה הממונה או המפעיל הפרטי, לפי העניין, יידעו את החייב כי הטיפול בבקשתו לערוך בירור יהיה כרוך במתן הרשאת גישה למידע המפורט הנוגע להודעת החיוב, הכוללת הרשאת צפייה, של בעל התפקיד המתאים לטיפול בבקשה בחברה הממונה או במפעיל הפרטי.</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השימוש במידע שבמערכת הגבייה</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המידע שייאסף במערכת הגבייה כאמור בסעיף 32 ישמש לקביעת החיוב במס ואכיפתו בלבד, ולא ייעשה בו כל שימוש לתכלית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שימוש במידע שלא לתכלית האמורה באותו סעיף קטן, יתאפשר בכפוף לכך שהמידע עובד כך שלא יהווה מידע מזוהה ובכפוף לאחד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נעשה שימוש במידע באופן מצטבר לגבי יותר מ-500 כלי רכב (בפרק זה – מידע מותמם);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השימוש במידע נעשה על ידי הלשכה המרכזית לסטטיסטיקה, לאחר שהועבר אליה לשם מילוי תפקידה לפי פקודת הסטטיסטיקה [נוסח חדש], התשל"ב-1972.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"מידע מזוהה" – מידע הכולל פרט מזהה של חייב, או מידע שפרטים מזהים של חייב הופרדו ממנו אך ניתן במאמץ סביר לזהות את החייב שאליו מתייחס המידע;</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"פרט מזהה" – שם פרטי, שם משפחה, מספר זהות, מספר רישוי של כלי רכב וכל מידע אחר שיש בו כדי להביא, במישרין או בעקיפין, לזיהוי חייב מסוים.</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הגנת הפרטיות לעניין צילומי רכב ומצלמות</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צילומי רכבים כאמור בסעיף 32(6) לא יהיו ניתנים לצפייה ולא יישמרו, אלא באופן שלא יאפשר את זיהוי הנוסעים ברכב המצולם או עוברי דרך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שמירת הצילומים והמידע שיופק מהם תיעשה בדרך שתבטיח הגנה מפני שימוש לא מורשה במידע המופיע בצילומים, שיבושו, חשיפתו או העתקתו בלא רשות כדין.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תפעול המצלמות, שמירת המידע המתועד בצילומים והפקת הצילומים והודעות החיוב לפי פרק זה ייעשו באופן שימזער את הפגיעה בפרטיות ואת סיכוני אבטחת המידע.</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מחיקת מידע מהמצלמות</w:t>
                </w:r>
              </w:p>
            </w:txbxContent>
          </v:textbox>
        </v:rect>
      </w:pict>
      <w:r>
        <w:rPr>
          <w:lang w:bidi="he-IL"/>
          <w:rFonts w:hint="cs" w:cs="FrankRuehl"/>
          <w:szCs w:val="34"/>
          <w:rtl/>
        </w:rPr>
        <w:t xml:space="preserve">39.</w:t>
      </w:r>
      <w:r>
        <w:rPr>
          <w:lang w:bidi="he-IL"/>
          <w:rFonts w:hint="cs" w:cs="FrankRuehl"/>
          <w:szCs w:val="26"/>
          <w:rtl/>
        </w:rPr>
        <w:tab/>
        <w:t xml:space="preserve">בסמוך לאחר שמירת המידע הבסיסי והמידע המפורט במערכת הגבייה ולא יאוחר משלושה ימים ממועד החצייה של רכב את גבול טבעת החיוב, יימחק המידע לעניין חציית הרכב כאמור מזיכרון המצלמות, אם נשמר בו.</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מחיקת מידע ממערכת הגבייה</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המידע המפורט השמור במערכת הגבייה לגבי כל רכב, למעט מידע מותמם כמשמעותו בסעיף 37(ב), יימחק בחלוף שנתיים ושלושה חודשים מיום שמירתו במערכת, למעט הודעת החיוב שתישמר במערכת עד תום שבע שנים מיום הנפקתה.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מידע כאמור לא יימחק אם הוא דרוש להליך משפטי או להליך גבייה שהחל לפני תום התקופה האמורה באותו סעיף קטן, לתקופה שבה הוא דרוש.</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 והגבלת העברת המידע</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אדם שהגיע אליו מידע לפי פרק זה, לרבות צילום והמידע שהופק ממנו, ישמור אותו בסוד ולא יגלה אותו לאחר אלא לפי הוראות פרק זה או לפי צו 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רשות המסים, החברה הממונה והמפעיל הפרטי לא יעבירו מידע שהתקבל או נוצר לפי פרק זה, לרבות צילום והמידע שהופק ממנו, אלא לפי הוראות פרק זה.</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יידוע הציבור</w:t>
                </w:r>
              </w:p>
            </w:txbxContent>
          </v:textbox>
        </v:rect>
      </w:pict>
      <w:r>
        <w:rPr>
          <w:lang w:bidi="he-IL"/>
          <w:rFonts w:hint="cs" w:cs="FrankRuehl"/>
          <w:szCs w:val="34"/>
          <w:rtl/>
        </w:rPr>
        <w:t xml:space="preserve">42.</w:t>
      </w:r>
      <w:r>
        <w:rPr>
          <w:lang w:bidi="he-IL"/>
          <w:rFonts w:hint="cs" w:cs="FrankRuehl"/>
          <w:szCs w:val="26"/>
          <w:rtl/>
        </w:rPr>
        <w:tab/>
        <w:t xml:space="preserve">רשות המסים תיידע את הציבור באמצעות החברה הממונה על הצבת מצלמות ושמירת צילום הנוסעים ברכב באופן שלא יאפשר את זיהוי הנוסעים או עוברי דרך אחרים.</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 לעניין הגנת הפרטיות</w:t>
                </w:r>
              </w:p>
            </w:txbxContent>
          </v:textbox>
        </v:rect>
      </w:pict>
      <w:r>
        <w:rPr>
          <w:lang w:bidi="he-IL"/>
          <w:rFonts w:hint="cs" w:cs="FrankRuehl"/>
          <w:szCs w:val="34"/>
          <w:rtl/>
        </w:rPr>
        <w:t xml:space="preserve">43.</w:t>
      </w:r>
      <w:r>
        <w:rPr>
          <w:lang w:bidi="he-IL"/>
          <w:rFonts w:hint="cs" w:cs="FrankRuehl"/>
          <w:szCs w:val="26"/>
          <w:rtl/>
        </w:rPr>
        <w:tab/>
        <w:t xml:space="preserve">שר המשפטים, באישור ועדת הכספים של הכנסת ולאחר התייעצות עם השרים, רשאי לקבוע הוראות בעניינים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שיקולי הגנה על פרטיות לגבי אופן הצבת המצלמות ותפעולן;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מניעת יכולת זיהוי הנוסעים ברכב או עוברי דרך אחרים; הוראות אלה ייקבעו לאחר התייעצות עם הממונה על יישומים ביומטריים כהגדרתו בחוק הכללת אמצעי זיהוי ביומטריים ונתוני זיהוי ביומטריים במסמכי זיהוי ובמאגר מידע, התש"ע-2009;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אופן שמירת הצילומים והמידע המתועד בהם ומשך שמירתם;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אופן העברת המידע שהופק מהצילומים לחייב, לפי בקשתו או אגב הגשת ערר מטעמו, וכן אופן הגשתו לוועדת הערר או לבית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אופן יידוע הציבור על הצילום.</w:t>
      </w:r>
    </w:p>
    <w:p>
      <w:pPr>
        <w:bidi/>
        <w:spacing w:before="70" w:after="5" w:line="250" w:lineRule="auto"/>
        <w:jc w:val="center"/>
      </w:pPr>
      <w:defaultTabStop w:val="720"/>
      <w:r>
        <w:rPr>
          <w:lang w:bidi="he-IL"/>
          <w:rFonts w:hint="cs" w:cs="FrankRuehl"/>
          <w:szCs w:val="26"/>
          <w:b/>
          <w:bCs/>
          <w:rtl/>
        </w:rPr>
        <w:t xml:space="preserve">פרק ט':ערר ואכיפת תשלום</w:t>
      </w:r>
      <w:bookmarkStart w:name="h42" w:id="42"/>
      <w:bookmarkEnd w:id="42"/>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הוראות חוק בתי דין מינהליים</w:t>
                </w:r>
              </w:p>
            </w:txbxContent>
          </v:textbox>
        </v:rect>
      </w:pict>
      <w:r>
        <w:rPr>
          <w:lang w:bidi="he-IL"/>
          <w:rFonts w:hint="cs" w:cs="FrankRuehl"/>
          <w:szCs w:val="34"/>
          <w:rtl/>
        </w:rPr>
        <w:t xml:space="preserve">49.</w:t>
      </w:r>
      <w:r>
        <w:rPr>
          <w:lang w:bidi="he-IL"/>
          <w:rFonts w:hint="cs" w:cs="FrankRuehl"/>
          <w:szCs w:val="26"/>
          <w:rtl/>
        </w:rPr>
        <w:tab/>
        <w:t xml:space="preserve">ההוראות לפי חוק בתי דין מינהליים, התשנ"ב-1992, למעט סעיפים 22(א), 26(ג), 37 ו-45 לחוק האמור, יחולו על ערר ועל ועדת ערר,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רשומה אלקטרונית – ראיה קבילה</w:t>
                </w:r>
              </w:p>
            </w:txbxContent>
          </v:textbox>
        </v:rect>
      </w:pict>
      <w:r>
        <w:rPr>
          <w:lang w:bidi="he-IL"/>
          <w:rFonts w:hint="cs" w:cs="FrankRuehl"/>
          <w:szCs w:val="34"/>
          <w:rtl/>
        </w:rPr>
        <w:t xml:space="preserve">50.</w:t>
      </w:r>
      <w:r>
        <w:rPr>
          <w:lang w:bidi="he-IL"/>
          <w:rFonts w:hint="cs" w:cs="FrankRuehl"/>
          <w:szCs w:val="26"/>
          <w:rtl/>
        </w:rPr>
        <w:tab/>
        <w:t xml:space="preserve">הוראות סעיף 4ט לחוק נתיבים מהירים, התש"ס-2000, לרבות התקנות שהותקנו לפיו, יחולו לעניין חוק זה, בשינויים המחויבים, אם לא נקבע אחרת בחוק זה.</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w:t>
                </w:r>
              </w:p>
            </w:txbxContent>
          </v:textbox>
        </v:rect>
      </w:pict>
      <w:r>
        <w:rPr>
          <w:lang w:bidi="he-IL"/>
          <w:rFonts w:hint="cs" w:cs="FrankRuehl"/>
          <w:szCs w:val="34"/>
          <w:rtl/>
        </w:rPr>
        <w:t xml:space="preserve">51.</w:t>
      </w:r>
      <w:r>
        <w:rPr>
          <w:lang w:bidi="he-IL"/>
          <w:rFonts w:hint="cs" w:cs="FrankRuehl"/>
          <w:szCs w:val="26"/>
          <w:rtl/>
        </w:rPr>
        <w:tab/>
        <w:t xml:space="preserve">שר המשפטים רשאי להתקין תקנות לעניין סדרי דין ודיני הראיות ולעניין סדרי המינהל בוועדת הערר.</w:t>
      </w:r>
    </w:p>
    <w:p>
      <w:pPr>
        <w:bidi/>
        <w:spacing w:before="70" w:after="5" w:line="250" w:lineRule="auto"/>
        <w:jc w:val="center"/>
      </w:pPr>
      <w:defaultTabStop w:val="720"/>
      <w:r>
        <w:rPr>
          <w:lang w:bidi="he-IL"/>
          <w:rFonts w:hint="cs" w:cs="FrankRuehl"/>
          <w:szCs w:val="26"/>
          <w:b/>
          <w:bCs/>
          <w:rtl/>
        </w:rPr>
        <w:t xml:space="preserve">פרק י':הוראות שונות</w:t>
      </w:r>
      <w:bookmarkStart w:name="h46" w:id="46"/>
      <w:bookmarkEnd w:id="46"/>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השקעה בתחבורה ציבורית</w:t>
                </w:r>
              </w:p>
            </w:txbxContent>
          </v:textbox>
        </v:rect>
      </w:pict>
      <w:r>
        <w:rPr>
          <w:lang w:bidi="he-IL"/>
          <w:rFonts w:hint="cs" w:cs="FrankRuehl"/>
          <w:szCs w:val="34"/>
          <w:rtl/>
        </w:rPr>
        <w:t xml:space="preserve">53.</w:t>
      </w:r>
      <w:r>
        <w:rPr>
          <w:lang w:bidi="he-IL"/>
          <w:rFonts w:hint="cs" w:cs="FrankRuehl"/>
          <w:szCs w:val="26"/>
          <w:rtl/>
        </w:rPr>
        <w:tab/>
        <w:t xml:space="preserve">בחוק תקציב שנתי כהגדרתו בחוק יסודות התקציב, התשמ"ה-1985, ייקבע בתכנית נפרדת סכום בגובה אומדן ההכנסות הצפויות לאותה שנת כספים ממס הגודש, ולא יותר מסכום של 700 מיליון שקלים חדשים לטובת שיפור הפעלת שירותי התחבורה הציבורית.</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54.</w:t>
      </w:r>
      <w:r>
        <w:rPr>
          <w:lang w:bidi="he-IL"/>
          <w:rFonts w:hint="cs" w:cs="FrankRuehl"/>
          <w:szCs w:val="26"/>
          <w:rtl/>
        </w:rPr>
        <w:tab/>
        <w:t xml:space="preserve">שר האוצר ממונה על ביצוע חוק זה, והוא רשאי, לאחר התייעצות עם שר התחבורה, להתקין תקנות לביצועו.</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בתי דין מינהליים – מס' 18</w:t>
                </w:r>
              </w:p>
            </w:txbxContent>
          </v:textbox>
        </v:rect>
      </w:pict>
      <w:r>
        <w:rPr>
          <w:lang w:bidi="he-IL"/>
          <w:rFonts w:hint="cs" w:cs="FrankRuehl"/>
          <w:szCs w:val="34"/>
          <w:rtl/>
        </w:rPr>
        <w:t xml:space="preserve">55.</w:t>
      </w:r>
      <w:r>
        <w:rPr>
          <w:lang w:bidi="he-IL"/>
          <w:rFonts w:hint="cs" w:cs="FrankRuehl"/>
          <w:szCs w:val="26"/>
          <w:rtl/>
        </w:rPr>
        <w:tab/>
        <w:t xml:space="preserve">בחוק בתי דין מינהליים, התשנ"ב-1992, בתוספת, אחרי פרט 29 יבוא:
"30.  ועדת ערר לפי סעיף 45 לחוק מס להפחתת גודש התנועה באזור גוש דן, התשפ"ב-2021."</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56.</w:t>
        <w:tab/>
      </w:r>
      <w:r>
        <w:rPr>
          <w:lang w:bidi="he-IL"/>
          <w:rFonts w:hint="cs" w:cs="FrankRuehl"/>
          <w:szCs w:val="26"/>
          <w:rtl/>
        </w:rPr>
        <w:t xml:space="preserve">(א)</w:t>
      </w:r>
      <w:r>
        <w:rPr>
          <w:lang w:bidi="he-IL"/>
          <w:rFonts w:hint="cs" w:cs="FrankRuehl"/>
          <w:szCs w:val="26"/>
          <w:rtl/>
        </w:rPr>
        <w:tab/>
        <w:t xml:space="preserve">תחילתו של חוק זה ביום תחילתו של חוק התכנית הכלכלית (תיקוני חקיקה ליישום המדיניות הכלכלית לשנות התקציב 2021 ו-2022), התשפ"ב-2021 (בפרק זה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תחילתם של סעיפים 2, 3, 10 עד 13, 16, 17, 33, 44 עד 48 ו-52 ביום א' באדר התשפ"ה (1 במרס 2025) (בפרק זה – היום הקובע).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השרים, לאחר התייעצות עם ועדת היישום, רשאים לדחות פעם אחת, בצו, את היום הקובע עד יום י"ב באדר התשפ"ו (1 במרס 2026).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(ב), תחילתו של סעיף 12(ב) חמש שנים מהיום הקובע, ואם נדחה לפי סעיף קטן (ג) – מהמועד שאליו נדחה.</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 ראשונות</w:t>
                </w:r>
              </w:p>
            </w:txbxContent>
          </v:textbox>
        </v:rect>
      </w:pict>
      <w:r>
        <w:rPr>
          <w:lang w:bidi="he-IL"/>
          <w:rFonts w:hint="cs" w:cs="FrankRuehl"/>
          <w:szCs w:val="34"/>
          <w:rtl/>
        </w:rPr>
        <w:t xml:space="preserve">57.</w:t>
      </w:r>
      <w:r>
        <w:rPr>
          <w:lang w:bidi="he-IL"/>
          <w:rFonts w:hint="cs" w:cs="FrankRuehl"/>
          <w:szCs w:val="26"/>
          <w:rtl/>
        </w:rPr>
        <w:tab/>
        <w:t xml:space="preserve">תקנות ראשונות לעניין סעיף 3(ב) יותקנו לא יאוחר משישה חודשים לפני היום הקובע, ואם נדחה לפי סעיף 56(ג) – לפני המועד שאליו נדחה.</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פעולות ראשונות</w:t>
                </w:r>
              </w:p>
            </w:txbxContent>
          </v:textbox>
        </v:rect>
      </w:pict>
      <w:r>
        <w:rPr>
          <w:lang w:bidi="he-IL"/>
          <w:rFonts w:hint="cs" w:cs="FrankRuehl"/>
          <w:szCs w:val="34"/>
          <w:rtl/>
        </w:rPr>
        <w:t xml:space="preserve">58.</w:t>
      </w:r>
      <w:r>
        <w:rPr>
          <w:lang w:bidi="he-IL"/>
          <w:rFonts w:hint="cs" w:cs="FrankRuehl"/>
          <w:szCs w:val="26"/>
          <w:rtl/>
        </w:rPr>
        <w:tab/>
        <w:t xml:space="preserve">הפעולות לפי חוק זה המפורטות להלן יקוימו לראשונה לאחר יום התחילה, במועדים הנקובים לצידן: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שר האוצר יקבע לראשונה את מיקומי השערים כאמור בסעיף 8 – עד 15 חודשים לפני היום הקובע;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השרים ימנו חברה ממונה כאמור בסעיף 23 – בתוך שלושים ימים מיום התחילה.</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לכנסת</w:t>
                </w:r>
              </w:p>
            </w:txbxContent>
          </v:textbox>
        </v:rect>
      </w:pict>
      <w:r>
        <w:rPr>
          <w:lang w:bidi="he-IL"/>
          <w:rFonts w:hint="cs" w:cs="FrankRuehl"/>
          <w:szCs w:val="34"/>
          <w:rtl/>
        </w:rPr>
        <w:t xml:space="preserve">59.</w:t>
        <w:tab/>
      </w:r>
      <w:r>
        <w:rPr>
          <w:lang w:bidi="he-IL"/>
          <w:rFonts w:hint="cs" w:cs="FrankRuehl"/>
          <w:szCs w:val="26"/>
          <w:rtl/>
        </w:rPr>
        <w:t xml:space="preserve">(א)</w:t>
      </w:r>
      <w:r>
        <w:rPr>
          <w:lang w:bidi="he-IL"/>
          <w:rFonts w:hint="cs" w:cs="FrankRuehl"/>
          <w:szCs w:val="26"/>
          <w:rtl/>
        </w:rPr>
        <w:tab/>
        <w:t xml:space="preserve">השרים ידווחו לוועדת הכספים של הכנסת, אחת לשנה, החל מחודש מרס 2023, על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התפתחות טכנולוגית לניטור רציף של כלי רכב ולקביעת תעריפי שיווי משקל;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מחקר השוואתי מעודכן ממדינות העולם לעניין דרכי קביעת תשלומי גודש;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מדדי יעילות של מס הגודש בישראל ונתונים סטטיסטיים נוספים;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עמדת ועדת היישום לעניין הצורך בתיקון החקיקה והתאמה לטכנולוגיה עדכנית;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בחינת יישום מודל תעריפי שיווי משקל וכדאיותו על בסיס מודל טבעות החיוב הקיים בחוק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ההשקעה בפיתוח התחבורה הציבורית;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השינוי בתדירות התחבורה הציבורית ובתשתיות התחבורה שהוקמו מיום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"מקטע דרך" – תחום שיקבע שר האוצר, בהסכמת שר התחבורה, בין בהגדרת אורך קבוע של דרך ובין בקביעת דרך התחומה בגבולות ברורים;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"ניטור רציף" – אמצעי אלקטרוני נייד או המותקן דרך קבע בכלי הרכב, שייחשב את מרחק הנסיעה שעבר כלי הרכב בכל אחת מטבעות החיוב או מקטעי הדרך; הניטור הרציף ייעשה בשים לב, ככל הניתן, לשמירה על הפרטיות ובאופן שבו הרכיב האלקטרוני המנטר ישדר למערכת הגבייה את סכום המס המוטל בעד הנסיעה; יתר הנתונים הכוללים את מיקום כלי הרכב ושעת נסיעתו ייקלטו באמצעי הניטור ולא יועברו; רכיב הניטור יבצע באופן אוטומטי את ההתחשבנות ויעביר את סכום המס בלבד;</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"תעריפי שיווי משקל" – סכום מס שייצור, ככל הניתן, מיטוב בכל מקטע דרך בין מספר הנסיעות המבקשות לעבור בו בפרק זמן נתון לקיבולת קטע הדרך באותו מסלול; ככל שמספר כלי הרכב הנעים בכל מקטע דרך בשעה נתונה קטן יותר מקיבולת קטע הדרך, יוטל מס בשיעור נמוך יותר או שלא יוטל מס; ככל שמספר כלי הרכב הנעים בכל מקטע דרך בשעה נתונה גדול יותר מקיבולת קטע הדרך, יוטל מס בשיעור גבוה יותר.</w:t>
      </w:r>
    </w:p>
    <w:p>
      <w:pPr>
        <w:bidi/>
        <w:spacing w:before="70" w:after="5" w:line="250" w:lineRule="auto"/>
        <w:jc w:val="center"/>
      </w:pPr>
      <w:defaultTabStop w:val="720"/>
      <w:bookmarkStart w:name="h54" w:id="54"/>
      <w:bookmarkEnd w:id="54"/>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(סעיפים 4 ו-8)</w:t>
      </w:r>
    </w:p>
    <w:p>
      <w:pPr>
        <w:bidi/>
        <w:spacing w:before="45" w:after="5" w:line="250" w:lineRule="auto"/>
        <w:jc w:val="center"/>
      </w:pPr>
      <w:defaultTabStop w:val="720"/>
      <w:r>
        <w:rPr>
          <w:lang w:bidi="he-IL"/>
          <w:rFonts w:hint="cs" w:cs="FrankRuehl"/>
          <w:szCs w:val="26"/>
          <w:rtl/>
        </w:rPr>
        <w:t xml:space="preserve">גבול טבעות החיוב ומיקומי השערים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e3dbfd3dd3a3472e">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55" w:id="55"/>
      <w:bookmarkEnd w:id="55"/>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11)</w:t>
      </w:r>
    </w:p>
    <w:p>
      <w:pPr>
        <w:bidi/>
        <w:spacing w:before="45" w:after="5" w:line="250" w:lineRule="auto"/>
        <w:jc w:val="center"/>
      </w:pPr>
      <w:defaultTabStop w:val="720"/>
      <w:r>
        <w:rPr>
          <w:lang w:bidi="he-IL"/>
          <w:rFonts w:hint="cs" w:cs="FrankRuehl"/>
          <w:szCs w:val="26"/>
          <w:rtl/>
        </w:rPr>
        <w:t xml:space="preserve">סכומי המס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a4bff092882e4b53">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56" w:id="56"/>
      <w:bookmarkEnd w:id="56"/>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17)</w:t>
      </w:r>
    </w:p>
    <w:p>
      <w:pPr>
        <w:bidi/>
        <w:spacing w:before="45" w:after="5" w:line="250" w:lineRule="auto"/>
        <w:jc w:val="center"/>
      </w:pPr>
      <w:defaultTabStop w:val="720"/>
      <w:r>
        <w:rPr>
          <w:lang w:bidi="he-IL"/>
          <w:rFonts w:hint="cs" w:cs="FrankRuehl"/>
          <w:szCs w:val="26"/>
          <w:rtl/>
        </w:rPr>
        <w:t xml:space="preserve">אופן החיוב לעניין סוגי רכב מסוימים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c494dce99fce487b">
        <w:r>
          <w:rPr>
            <w:rStyle w:val="Hyperlink"/>
            <w:u w:val="single"/>
            <w:color w:themeColor="hyperlink"/>
          </w:rPr>
          <w:t>סעיף זה מכיל טבלה או תמונה - לחצו לצפיה</w:t>
        </w:r>
      </w:hyperlink>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מס להפחתת גודש התנועה באזור גוש דן, תשפ"ב-2021,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026b64eca5343dc" /><Relationship Type="http://schemas.openxmlformats.org/officeDocument/2006/relationships/hyperlink" Target="https://www.nevo.co.il/laws/#/619a2f0085b43c7201ce85d1/clause/619a5a6d85b43c7201ce8c1b" TargetMode="External" Id="Re3dbfd3dd3a3472e" /><Relationship Type="http://schemas.openxmlformats.org/officeDocument/2006/relationships/hyperlink" Target="https://www.nevo.co.il/laws/#/619a2f0085b43c7201ce85d1/clause/619a5b8285b43c7201ce8c42" TargetMode="External" Id="Ra4bff092882e4b53" /><Relationship Type="http://schemas.openxmlformats.org/officeDocument/2006/relationships/hyperlink" Target="https://www.nevo.co.il/laws/#/619a2f0085b43c7201ce85d1/clause/619a5d0585b43c7201ce8c79" TargetMode="External" Id="Rc494dce99fce487b" /><Relationship Type="http://schemas.openxmlformats.org/officeDocument/2006/relationships/header" Target="/word/header1.xml" Id="r97" /><Relationship Type="http://schemas.openxmlformats.org/officeDocument/2006/relationships/footer" Target="/word/footer1.xml" Id="r98" /></Relationships>
</file>