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190def3e34c4d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להסכמי רכישה בלעדית) (הוראת שעה),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כבילות נלוות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לתחולת הפטור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בלעדיות לרכישת תשומה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הפטור על הסכם סוכנות בלעדית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כללי ההגבלים העסקיים (הוראות והגדרות כלליות)</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להסכמי רכישה בלעדית) (הוראת שעה),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(להלן – החוק), ובאישור הועדה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רכישה" – חוזה בין מוכר לבין ספק, לרכישת טובין לשם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סוכנות" – חוזה בין סוכן לבין ספק למכירת טובין, תמורת עמלה;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צד להסכם רכישה הרוכש טובין מספק לשם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 צד להסכם סוכנות הפועל למכירת טובין של הספק תמורת עמלה;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צד להסכם רכישה המספק או מוכר טובין למוכר לשם מכירתם או צד להסכם סוכנות המוכר טובין באמצעות הסוכן;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"רכישה" בידי מוכר – לרבות קבלת טובין להחזקתו, לשם מכירתם.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הסכם רכישה שבו מתחייב מוכר לרכוש טובין מסוג מסוים רק מספק אחד (להלן – הסכם לרכישה בלעדית) פטור מקבלת אישור בית הדין לתחרות, אם התקיימו לגביו כל התנאים שבכללים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לכלול בהסכם לרכישה בלעדית את הכבילות המפורטות להלן או חלק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המוכר, אדם השולט בו או תאגיד הנשלט על ידי מי מהם, כי הוא לא ייצר ולא ישווק טובין תחליפיים לטובין נושא ההסכם לרכישה בלעדית; בסעיף זה, "שליטה" – כהגדרתה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המוכר לאחד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לרכוש סדרות שלמות של טובין שבהסכם לרכישה בלעדית;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לרכוש כמות מסוימת של טובין שבהסכם לרכישה בלעדית;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למכור טובין שבהסכם לרכישה בלעדית באריזה או בעיצוב שדרש הספק;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למכור טובין שבהסכם לרכישה בלעדית תחת סימן מסחר או סימן שירות שהספק או המוכר הוא בעלו או מורשה לשווק תחתיו טובין מאותו סוג, או תחת שם מסחרי שהספק או המוכר משווק בו טובין מאותו סוג;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לסייע בקידום מכירות הטובין שבהסכם לרכישה בלעדית, לרבות באמצעות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פרסומם;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החזקת מלאי של הטובין, בכלל או בכמות שלא תפחת משיעור מסוים;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מתן שירות ואחריות לטובין;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העסקת עובדים בעלי מומחיות או הכשרה טכנית מספקת.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כבילות נלוות</w:t>
                </w:r>
              </w:p>
            </w:txbxContent>
          </v:textbox>
        </v:rect>
      </w:pict>
      <w:r>
        <w:rPr>
          <w:lang w:bidi="he-IL"/>
          <w:rFonts w:hint="cs" w:cs="FrankRuehl"/>
          <w:szCs w:val="34"/>
          <w:rtl/>
        </w:rPr>
        <w:t xml:space="preserve">2א.</w:t>
      </w:r>
      <w:r>
        <w:rPr>
          <w:lang w:bidi="he-IL"/>
          <w:rFonts w:hint="cs" w:cs="FrankRuehl"/>
          <w:szCs w:val="26"/>
          <w:rtl/>
        </w:rPr>
        <w:tab/>
        <w:t xml:space="preserve">פטור לפי כללים אלה יחול גם על הסכם רכישה בלעדית הכולל כבילות נוספות ובלבד שהכבילות הנוספות נחוצות למימוש עיקרו של ההסכם ואין בהן כדי לפגוע פגיעה של ממש בתחרות בשוק המוצר או בחלק ממנו.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לתחולת הפטור</w:t>
                </w:r>
              </w:p>
            </w:txbxContent>
          </v:textbox>
        </v:rect>
      </w:pict>
      <w:r>
        <w:rPr>
          <w:lang w:bidi="he-IL"/>
          <w:rFonts w:hint="cs" w:cs="FrankRuehl"/>
          <w:szCs w:val="34"/>
          <w:rtl/>
        </w:rPr>
        <w:t xml:space="preserve">3.</w:t>
      </w:r>
      <w:r>
        <w:rPr>
          <w:lang w:bidi="he-IL"/>
          <w:rFonts w:hint="cs" w:cs="FrankRuehl"/>
          <w:szCs w:val="26"/>
          <w:rtl/>
        </w:rPr>
        <w:tab/>
        <w:t xml:space="preserve">פטור הסוג שבכללים אלה לא יחול על הסכם לרכישה בלעדית שלגביו מתקיימים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הצדדים להסכם לרכישה בלעדית הם מתחרים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חלקו של צד להסכם לרכישה בלעדית בשוק המוצר הוא 30% או יותר מייצור המוצר או מאספקתו;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צד להסכם לרכישה בלעדית הוא בעל מונופולין בשוק המוצר או בשוק מוצר משיק;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בין צדדים להסכם לרכישה בלעדית קיים הסכם לענין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המחיר שבו יציעו המוכר, הספק או אדם אחר מטעם מי מהם את הטובין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המחיר שיידרש תמורת הטובין מאדם אחר או שישולם בעדם;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שיעור הרווח שיפיק צד להסכם לרכישה בלעדית;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כל הסכם אחר שתוצאתו שוות ערך להסכמים כאמור בפסקאות משנה (א) עד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ההסכם לרכישה בלעדית מחייב אדם להיות צד לו לפרק זמן העולה על עשר שנים רצופות, ולא ניתנה בו לאותו אדם אפשרות להשתחרר ממנו בהודעה שייתן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עיקרו של ההסכם לרכישה בלעדית בהפחתת התחרות או במניעתה;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ההסכם לרכישה בלעדית כולל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בלעדיות לרכישת תשומה</w:t>
                </w:r>
              </w:p>
            </w:txbxContent>
          </v:textbox>
        </v:rect>
      </w:pict>
      <w:r>
        <w:rPr>
          <w:lang w:bidi="he-IL"/>
          <w:rFonts w:hint="cs" w:cs="FrankRuehl"/>
          <w:szCs w:val="34"/>
          <w:rtl/>
        </w:rPr>
        <w:t xml:space="preserve">4.</w:t>
      </w:r>
      <w:r>
        <w:rPr>
          <w:lang w:bidi="he-IL"/>
          <w:rFonts w:hint="cs" w:cs="FrankRuehl"/>
          <w:szCs w:val="26"/>
          <w:rtl/>
        </w:rPr>
        <w:tab/>
        <w:t xml:space="preserve">פטור זה יחול גם על הסכם לרכישה בלעדית, שבו רכישת הטובין מהספק נעשית לשם שימוש בהם כתשומה בייצור טובין אחרים ולא לשם מכירתם (להלן – הסכם בלעדיות), בתנאי שסך כל הכמות הנמכרת בידי אותו ספק לכל הרוכשים ממנו טובין כאמור, בהסכם בלעדיות, אינו עולה על 10% מכלל הצריכה של טובין מאותו סוג.</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הפטור על הסכם סוכנות בלעדית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הסכם סוכנות שבו מתחייב הסוכן למכור בשטח ההסכם טובין של הספק בלבד (להלן – הסכם לסוכנות בלעדית) פטור מקבלת אישור בית הדין לתחרות, אם התקיימו לגביו כל התנאים שבכללים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בהסכם סוכנות בלעדית ניתן לכלול, בשינויים המחויבים, כבילות כאמור בסעיף 3(4) ובלבד שהסוכן אינו סוכן עצמאי; לעניין סעיף זה, "סוכן עצמאי" – סוכן שהוא צד להסכם סוכנות בלעדית שביצועו דורש ממנו השקעות משמעותיות ומיוחדות להסכם או נטילת סיכונים משמעותיים ומיוחדים להסכם.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כללי ההגבלים העסקיים (הוראות והגדרות כלליות)</w:t>
                </w:r>
              </w:p>
            </w:txbxContent>
          </v:textbox>
        </v:rect>
      </w:pict>
      <w:r>
        <w:rPr>
          <w:lang w:bidi="he-IL"/>
          <w:rFonts w:hint="cs" w:cs="FrankRuehl"/>
          <w:szCs w:val="34"/>
          <w:rtl/>
        </w:rPr>
        <w:t xml:space="preserve">4ב.</w:t>
      </w:r>
      <w:r>
        <w:rPr>
          <w:lang w:bidi="he-IL"/>
          <w:rFonts w:hint="cs" w:cs="FrankRuehl"/>
          <w:szCs w:val="26"/>
          <w:rtl/>
        </w:rPr>
        <w:tab/>
        <w:t xml:space="preserve">הוראת סעיף 9 לכללי ההגבלים העסקיים (הוראות והגדרות כלליות), התשס"ו-2006, לא תחול על כללי פטור סוג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תוקף פטור הסוג שבכללים אלה עד יום ד' בתשרי התשפ"ז (15 בספטמבר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דוד תדמור</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להסכמי רכישה בלעדית) (הוראת שעה),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2cc1900a324dce" /><Relationship Type="http://schemas.openxmlformats.org/officeDocument/2006/relationships/header" Target="/word/header1.xml" Id="r97" /><Relationship Type="http://schemas.openxmlformats.org/officeDocument/2006/relationships/footer" Target="/word/footer1.xml" Id="r98" /></Relationships>
</file>