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86dec3c48a34b3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לשכת עורכי-הדין (קבלת חברים ללשכה וחידוש החברות), תשכ"ב-1962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להתקבל ללשכה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רשימת מועמדים והתנגדויות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הדיון בבקשות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לקבל מועמד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תעודות חברות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החברים החדשים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 משפט</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חידוש חברות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כללי לשכת עורכי-הדין (קבלת חברים ללשכה וחידוש החברות), תשכ"ב-1962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109(3) לחוק לשכת עורכי-הדין, תשכ"א-1961, מתקינה המועצה הארצית של לשכת עורכי הדין כללים אלה:</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להתקבל ללשכה</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בקשה להתקבל כחבר הלשכה תוגש לראש הלשכה, ויצורפו לה מסמכים המוכיחים את כשירות המבקש להיות עורך דין ותצהיר לפי פקודת העדות, על שהוא תושב ישראל ומלאו לו 23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עם הגשת הבקשה ישלם המבקש האגרה שנקבעה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רישום חבר במחוזות לפי סעיף 12א לחוק כמפורט בכללי לשכת עורכי הדין (רישום חברי הלשכה במחוזות), התשס"ב-2002, מי שמבקש להתקבל לחבר יציין בבקשתו מען שישמש את הלשכה לשליחת דברי דואר ובכלל זה להמצאת כתבי בי-דין של הלשכה (להלן – המען הרשום בלשכה).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שמבקש לשנות את המען הרשום בלשכה יודיע על כך ללשכה 30 ימים מראש בדואר רשום עם אישור מסירה או באמצעות פקסמילה או בדואר אלקטרוני, לפי הפרטים המפורסמים באתר הלשכה.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רשימת מועמדים והתנגדויות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אחת לארבעה חדשים תציג הלשכה בבית המשפט העליון, בכל בית משפט מחוזי ובלשכת כל ועד מחוזי את רשימת המועמדים לחברות בלשכה.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תוך שלושים יום מיום הצגת הרשימה רשאי כל אדם להגיש התנגדות לקבלת מועמד.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עם הצגת הרשימה תציין הלשכה את המקום להגשת ההתנגדויות ואת המועד האמור בסעיף קטן (ב); התנגדות תוגש בכתב תוך פירוט הנימוקים.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הדיון בבקשות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בתום המועד הקבוע בסעיף 2(ב) תדון הלשכה בבקשות המועמדים לחברות ובהתנגדויות, אם היו, ותחליט 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ראתה הלשכה, כי יש לכאורה נימוק לפי סעיף 44 לחוק, שלא לקבל מועמד כחבר הלשכה על אף כשירותו, תודיע לו על כך בכתב ותקבע לו מועד לטעון טענותיו לפניה בטרם תחליט בדבר קבלתו.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לקבל מועמד</w:t>
                </w:r>
              </w:p>
            </w:txbxContent>
          </v:textbox>
        </v:rect>
      </w:pict>
      <w:r>
        <w:rPr>
          <w:lang w:bidi="he-IL"/>
          <w:rFonts w:hint="cs" w:cs="FrankRuehl"/>
          <w:szCs w:val="34"/>
          <w:rtl/>
        </w:rPr>
        <w:t xml:space="preserve">4.</w:t>
      </w:r>
      <w:r>
        <w:rPr>
          <w:lang w:bidi="he-IL"/>
          <w:rFonts w:hint="cs" w:cs="FrankRuehl"/>
          <w:szCs w:val="26"/>
          <w:rtl/>
        </w:rPr>
        <w:tab/>
        <w:t xml:space="preserve">החליטה הלשכה לקבל מועמד כחבר הלשכה, תודיע לו על כך בכתב, ולאחר ששילם את האגרה שנקבעה תרשום אותו בפנקס חברי הלשכה ביום טקס מסירת תעודות חברות או במועד אחר שנקבע לפי סעיף 6.</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תעודות חברות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מסירת תעודות חברות לחברים חדשים שיתקבלו ללשכה תהיה בטקס שיקוים בירושלים פעמיים בשנה, בחודש מאי או במחצית הראשונה של חודש יוני ובחודש נובמבר או במחצית הראשונה של חודש דצמבר.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בנוסף לאמור בסעיף קטן (א), יקבע הוועד המרכזי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מועד אישי למסירת תעודת חברות למועמד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שנבצר ממנו לקבל תעודת חברות, מחמת שטרם מלאו לו 23 שנים במועדים שנקבעו לפי סעיף קטן (א) או פסקה (1), בסמוך לאחר הגיעו לגיל 23 שנים;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שנבצר ממנו, מסיבות שאינן תלויות בו, לקבל תעודת חברות במועד שנקבע לפי כללים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הלשכה תודיע למועמדים על המקום, היום והשעה למסירת תעודות חברות.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בסעיף קטן (א) רשאי שר המשפטים, בהסכמת המועצה הארצית של לשכת עורכי הדין, להחליט על מועד נוסף לקבלת חברים ללשכה, מסיבות מיוחדות שירשום בהחלטתו.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החברים החדשים</w:t>
                </w:r>
              </w:p>
            </w:txbxContent>
          </v:textbox>
        </v:rect>
      </w:pict>
      <w:r>
        <w:rPr>
          <w:lang w:bidi="he-IL"/>
          <w:rFonts w:hint="cs" w:cs="FrankRuehl"/>
          <w:szCs w:val="34"/>
          <w:rtl/>
        </w:rPr>
        <w:t xml:space="preserve">6.</w:t>
      </w:r>
      <w:r>
        <w:rPr>
          <w:lang w:bidi="he-IL"/>
          <w:rFonts w:hint="cs" w:cs="FrankRuehl"/>
          <w:szCs w:val="26"/>
          <w:rtl/>
        </w:rPr>
        <w:tab/>
        <w:t xml:space="preserve">מקבלי התעודות יוצגו לפי מקומות מגוריהם על ידי יושב ראש הועד המחוזי, או מי שנתמנה על ידיו, לפני ראש הלשכה, או מי שנתמנה על ידיו, והוא ימסור את התעודות לחברים החדשים, לאחר שמקבל התעודה יצהיר:
"אני מתחייב לשמור על כבוד המקצוע של עריכת הדין ובמילוי תפקידי אפעל לטובת שולחי בנאמנות ובמסירות ואעזור לבית המשפט לעשות משפט".</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 משפט</w:t>
                </w:r>
              </w:p>
            </w:txbxContent>
          </v:textbox>
        </v:rect>
      </w:pict>
      <w:r>
        <w:rPr>
          <w:lang w:bidi="he-IL"/>
          <w:rFonts w:hint="cs" w:cs="FrankRuehl"/>
          <w:szCs w:val="34"/>
          <w:rtl/>
        </w:rPr>
        <w:t xml:space="preserve">7.</w:t>
      </w:r>
      <w:r>
        <w:rPr>
          <w:lang w:bidi="he-IL"/>
          <w:rFonts w:hint="cs" w:cs="FrankRuehl"/>
          <w:szCs w:val="26"/>
          <w:rtl/>
        </w:rPr>
        <w:tab/>
        <w:t xml:space="preserve">מקבלי התעודות וחברי הלשכה האחרים המשתתפים בטקס ילבשו מדי משפט.</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חידוש חברות</w:t>
                </w:r>
              </w:p>
            </w:txbxContent>
          </v:textbox>
        </v:rect>
      </w:pict>
      <w:r>
        <w:rPr>
          <w:lang w:bidi="he-IL"/>
          <w:rFonts w:hint="cs" w:cs="FrankRuehl"/>
          <w:szCs w:val="34"/>
          <w:rtl/>
        </w:rPr>
        <w:t xml:space="preserve">8.</w:t>
      </w:r>
      <w:r>
        <w:rPr>
          <w:lang w:bidi="he-IL"/>
          <w:rFonts w:hint="cs" w:cs="FrankRuehl"/>
          <w:szCs w:val="26"/>
          <w:rtl/>
        </w:rPr>
        <w:tab/>
        <w:t xml:space="preserve">על חידוש חברות לפי סעיף 51 לחוק ועל קבלת חבר לפי סעיף 100 לחוק יחולו הסעיפים 1 עד 4, בשינויים המחוייבים לפי הענין.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9.</w:t>
      </w:r>
      <w:r>
        <w:rPr>
          <w:lang w:bidi="he-IL"/>
          <w:rFonts w:hint="cs" w:cs="FrankRuehl"/>
          <w:szCs w:val="26"/>
          <w:rtl/>
        </w:rPr>
        <w:tab/>
        <w:t xml:space="preserve">לכללים אלה ייקרא "כללי לשכת עורכי-הדין (קבלת חברים ללשכה וחידוש החברות), תשכ"ב-1962".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 רוטנשטרייך</w:t>
                </w:r>
              </w:p>
              <w:p>
                <w:pPr>
                  <w:bidi/>
                  <w:spacing w:before="45" w:after="3" w:line="250" w:lineRule="auto"/>
                  <w:jc w:val="center"/>
                </w:pPr>
                <w:defaultTabStop w:val="720"/>
                <w:r>
                  <w:rPr>
                    <w:lang w:bidi="he-IL"/>
                    <w:rFonts w:hint="cs" w:cs="FrankRuehl"/>
                    <w:szCs w:val="22"/>
                    <w:rtl/>
                  </w:rPr>
                  <w:t xml:space="preserve">יושב ראש המועצה הארצית  של לשכת עורכי-הדין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יוסף</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לשכת עורכי-הדין (קבלת חברים ללשכה וחידוש החברות), תשכ"ב-1962,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621e2008bbb42b4" /><Relationship Type="http://schemas.openxmlformats.org/officeDocument/2006/relationships/header" Target="/word/header1.xml" Id="r97" /><Relationship Type="http://schemas.openxmlformats.org/officeDocument/2006/relationships/footer" Target="/word/footer1.xml" Id="r98" /></Relationships>
</file>