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7010ceeacef4cf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בתי הדין האזרחיים והדתיים (שפוט)</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 הקצר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הפיכת וקפים בלתי מושלמים שנעשו בפני בית הדין המושלמי הדתי להקדשות לצרכי צדקה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השיפוט לגבי יסודם של וקפים לא מושלמים שנעשו בפני בתי דין מושלמיים דתיים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מחלוקת בשאלת השפוט בנוגע לוקף תובא לפני בית דין מיוחד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משפטים בדבר זכות קנין או זכות חזקה בנכסי מקרקעין יהיו נידונים ע"י בית משפט אזרחי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במקרי דייה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פקודת בתי הדין האזרחיים והדתיים (שפוט)</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fe65218b2834d3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 הקצר</w:t>
                </w:r>
              </w:p>
            </w:txbxContent>
          </v:textbox>
        </v:rect>
      </w:pict>
      <w:r>
        <w:rPr>
          <w:lang w:bidi="he-IL"/>
          <w:rFonts w:hint="cs" w:cs="FrankRuehl"/>
          <w:szCs w:val="34"/>
          <w:rtl/>
        </w:rPr>
        <w:t xml:space="preserve">1.</w:t>
      </w:r>
      <w:r>
        <w:rPr>
          <w:lang w:bidi="he-IL"/>
          <w:rFonts w:hint="cs" w:cs="FrankRuehl"/>
          <w:szCs w:val="26"/>
          <w:rtl/>
        </w:rPr>
        <w:tab/>
        <w:t xml:space="preserve">פקודה זו תקרא פקודת בתי הדין האזרחיים והדתיים (שפוט).</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הפיכת וקפים בלתי מושלמים שנעשו בפני בית הדין המושלמי הדתי להקדשות לצרכי צדקה</w:t>
                </w:r>
              </w:p>
            </w:txbxContent>
          </v:textbox>
        </v:rect>
      </w:pict>
      <w:r>
        <w:rPr>
          <w:lang w:bidi="he-IL"/>
          <w:rFonts w:hint="cs" w:cs="FrankRuehl"/>
          <w:szCs w:val="34"/>
          <w:rtl/>
        </w:rPr>
        <w:t xml:space="preserve">2.</w:t>
      </w:r>
      <w:r>
        <w:rPr>
          <w:lang w:bidi="he-IL"/>
          <w:rFonts w:hint="cs" w:cs="FrankRuehl"/>
          <w:szCs w:val="26"/>
          <w:rtl/>
        </w:rPr>
        <w:tab/>
        <w:t xml:space="preserve">וקף לא מושלמי שנעשה בפני בית דין מושלמי דתי לפני התפרסם דבר המלך במועצה על ארץ-ישראל, 1922, יוכל המקדיש של אותו וקף או, אם מת המקדיש, האפוטרופוס על הוקף, או, אם יש יותר מאפוטרופוס אחד, רוב האפוטרופסים של הוקף שנתמנו עפ"י שטר הוקף או שנתמנו ע"י בית הדין השרעי לפני יום תחילתה של פקודה זו, לפנות לבית המשפט האזרחי, תוך שמונה עשר חדש מהתאריך דלעיל, בבקשה לתת צו להמיר את הוקף ולעשותו הקדש לצרכי צדקה עפ"י הוראות פקודת ההקדשות לצרכי צדקה; ומשהוגשה הבקשה יוכל בית הדין להודיע שהרכוש יוחזק בתורת הקדש עפ"י הוראות הפקודה דלעיל כאילו נוצר ההקדש עפ"י הוראותיה של אותה פקודה.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השיפוט לגבי יסודם של וקפים לא מושלמים שנעשו בפני בתי דין מושלמיים דתיים</w:t>
                </w:r>
              </w:p>
            </w:txbxContent>
          </v:textbox>
        </v:rect>
      </w:pict>
      <w:r>
        <w:rPr>
          <w:lang w:bidi="he-IL"/>
          <w:rFonts w:hint="cs" w:cs="FrankRuehl"/>
          <w:szCs w:val="34"/>
          <w:rtl/>
        </w:rPr>
        <w:t xml:space="preserve">3.</w:t>
      </w:r>
      <w:r>
        <w:rPr>
          <w:lang w:bidi="he-IL"/>
          <w:rFonts w:hint="cs" w:cs="FrankRuehl"/>
          <w:szCs w:val="26"/>
          <w:rtl/>
        </w:rPr>
        <w:tab/>
        <w:t xml:space="preserve">אם לא הוגשה בקשה כזאת או אם הוגשה ולא נתקבלה ע"י בית המשפט האזרחי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יוגש לפני בית המשפט האזרחי משפט או הליך אחר בדבר יסודו או תקפו של וקף כזה מלבד אם יסכימו כל הצדדים הנוגעים בדבר להביא את השאלה שהם נחלקים בה לפני בית המשפט המושלמי הדתי: הצדדים במשפט או בהליך אחר בבית משפט אזרחי יוכלו לקבל, עפ"י הסכם, צו לעכב את המשפט בבית המשפט האמור בכל עת קודם למתן פסק הדין למען יוכלו להעביר אותו משפט או אותו הליך אחר לבית דין דתי ולהביא מחדש את המשפט או את ההליך האחר לפני בית הדין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משפט או הליך אחר בדבר הנהלת וקף כזה יובא בפני בית הדין של העדה הדתית שמקדיש הוקף השתייך לה: אם לא השתייך המקדיש לעדה דתית או אם אין בית דין קבוע לעדה, יובא המשפט או ההליך בפני בית המשפט האזרחי אשר ידון בו לפי עיקרי הצדק הכלליים.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מחלוקת בשאלת השפוט בנוגע לוקף תובא לפני בית דין מיוחד</w:t>
                </w:r>
              </w:p>
            </w:txbxContent>
          </v:textbox>
        </v:rect>
      </w:pict>
      <w:r>
        <w:rPr>
          <w:lang w:bidi="he-IL"/>
          <w:rFonts w:hint="cs" w:cs="FrankRuehl"/>
          <w:szCs w:val="34"/>
          <w:rtl/>
        </w:rPr>
        <w:t xml:space="preserve">4.</w:t>
      </w:r>
      <w:r>
        <w:rPr>
          <w:lang w:bidi="he-IL"/>
          <w:rFonts w:hint="cs" w:cs="FrankRuehl"/>
          <w:szCs w:val="26"/>
          <w:rtl/>
        </w:rPr>
        <w:tab/>
        <w:t xml:space="preserve">נחלקו בית משפט דתי ובית משפט אזרחי בשאלה אם הענין הנידון הוא ענין של וקף בגדר שפוטו המיוחד של בית דין דתי, מעבירין את הענין לבית המשפט המיוחד שהוזכר בסעיף 55 של דבר המלך במועצה על ארץ-ישראל, 1922.</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משפטים בדבר זכות קנין או זכות חזקה בנכסי מקרקעין יהיו נידונים ע"י בית משפט אזרחי</w:t>
                </w:r>
              </w:p>
            </w:txbxContent>
          </v:textbox>
        </v:rect>
      </w:pict>
      <w:r>
        <w:rPr>
          <w:lang w:bidi="he-IL"/>
          <w:rFonts w:hint="cs" w:cs="FrankRuehl"/>
          <w:szCs w:val="34"/>
          <w:rtl/>
        </w:rPr>
        <w:t xml:space="preserve">5.</w:t>
      </w:r>
      <w:r>
        <w:rPr>
          <w:lang w:bidi="he-IL"/>
          <w:rFonts w:hint="cs" w:cs="FrankRuehl"/>
          <w:szCs w:val="26"/>
          <w:rtl/>
        </w:rPr>
        <w:tab/>
        <w:t xml:space="preserve">כל משפט או הליך אחר בנוגע לזכות הקנין או לזכות החזקה במקרקעים יוחלט ע"י בית משפט אזרחי אף אם טען איזה צד או איזה אדם שהקרקע היא וקף.</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במקרי דייה</w:t>
                </w:r>
              </w:p>
            </w:txbxContent>
          </v:textbox>
        </v:rect>
      </w:pict>
      <w:r>
        <w:rPr>
          <w:lang w:bidi="he-IL"/>
          <w:rFonts w:hint="cs" w:cs="FrankRuehl"/>
          <w:szCs w:val="34"/>
          <w:rtl/>
        </w:rPr>
        <w:t xml:space="preserve">6.</w:t>
      </w:r>
      <w:r>
        <w:rPr>
          <w:lang w:bidi="he-IL"/>
          <w:rFonts w:hint="cs" w:cs="FrankRuehl"/>
          <w:szCs w:val="26"/>
          <w:rtl/>
        </w:rPr>
        <w:tab/>
        <w:t xml:space="preserve">לבית-המשפט הדתי המוסלמי יהיה שיפוט במקרי בקשה על דמי כופר-נפש לרגל רצח-אדם או חבלה באברים (דייה), כשכל הצדדים הנוגעים בדבר הם מוסלמים, או – אם אינם מוסלמים – מסכימים הם למסור את הבקשה לבית-משפט דתי מוסלמי.</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בתי הדין האזרחיים והדתיים (שפוט), נוסח עדכני נכון ליום 20.03.2023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73a9c2605044af" /><Relationship Type="http://schemas.openxmlformats.org/officeDocument/2006/relationships/hyperlink" Target="https://www.nevo.co.il/laws/#/640f0014a1e1001fecf899aa/clause/640f00bca1e1001fecf899bf" TargetMode="External" Id="R9fe65218b2834d3e" /><Relationship Type="http://schemas.openxmlformats.org/officeDocument/2006/relationships/header" Target="/word/header1.xml" Id="r97" /><Relationship Type="http://schemas.openxmlformats.org/officeDocument/2006/relationships/footer" Target="/word/footer1.xml" Id="r98" /></Relationships>
</file>