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9f2a4cd63c74f1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(איגוד ערים לאיכות הסביבה – אזור המשולש הדרומי),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האיגוד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כהונתה של המועצה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סמכויות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(איגוד ערים לאיכות הסביבה – אזור המשולש הדרומי), תשס"ח-2008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10, 15 ו-16ב לחוק איגודי ערים, התשט"ו-1955, ובהתייעצות עם שר האוצר,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"מועצה", "השר" – כהגדרתם בסעיף 1 לצו איגוד ערים (הוראות אחידות), התשל"ז-1977 (להלן – צו הוראות אחידות);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ששמה 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האיגוד</w:t>
                </w:r>
              </w:p>
            </w:txbxContent>
          </v:textbox>
        </v:rect>
      </w:pict>
      <w:r>
        <w:rPr>
          <w:lang w:bidi="he-IL"/>
          <w:rFonts w:hint="cs" w:cs="FrankRuehl"/>
          <w:szCs w:val="34"/>
          <w:rtl/>
        </w:rPr>
        <w:t xml:space="preserve">2.</w:t>
      </w:r>
      <w:r>
        <w:rPr>
          <w:lang w:bidi="he-IL"/>
          <w:rFonts w:hint="cs" w:cs="FrankRuehl"/>
          <w:szCs w:val="26"/>
          <w:rtl/>
        </w:rPr>
        <w:tab/>
        <w:t xml:space="preserve">מוקם בזה איגוד ערים שייקרא "איגוד ערים לאיכות הסביבה (אזור המשולש הדרומי)" שתחומו יהיה שטח שיפוטן של הרשויות המקומיות שבתוספת.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3.</w:t>
      </w:r>
      <w:r>
        <w:rPr>
          <w:lang w:bidi="he-IL"/>
          <w:rFonts w:hint="cs" w:cs="FrankRuehl"/>
          <w:szCs w:val="26"/>
          <w:rtl/>
        </w:rPr>
        <w:tab/>
        <w:t xml:space="preserve">אלה תפקידי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ייעוץ סביבתי לרשויות המקומיות ולמחלקות השונות ברשויות העוסקות בנושאים סביבתיים, כגון: מחלקות לתברואה, פיקוח ורישוי עסקים ולוועדות התכנון והבניה המקומיות;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תיאום וביצוע פעילות סביבתית עם גורמי חוץ, ובכלל זה משרדי ממשלה, רשויות מקומיות, גופים ומוסדות כגון קרן קיימת לישראל ורשות הטבע והגנים וכן ארגונים אחרים שעיסוקם בתחום איכות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ייעוץ, פיקוח, הדרכה, תכנון וביצוע בנושאים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פסולת מוצקה וסילוקה;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תכנון סביבתי;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ביוב והשימוש בקולחין;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חומרים מסוכנים ופסולת מסוכנת וסילוקה;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ניטור ופיקוח על תעשיות ובקרת אזורי תעשיה;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מפגעי רעש;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מפגעי זיהום אוויר;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(ח)</w:t>
      </w:r>
      <w:r>
        <w:rPr>
          <w:lang w:bidi="he-IL"/>
          <w:rFonts w:hint="cs" w:cs="FrankRuehl"/>
          <w:szCs w:val="26"/>
          <w:rtl/>
        </w:rPr>
        <w:tab/>
        <w:t xml:space="preserve">מפגעי המגזר החקלאי;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ייעוץ, פיקוח, הדרכה, תכנון וביצוע בכל נושא אשר לו נגיעה לתחום איכות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הקמת מרכז הדרכה לחינוך סביבתי;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הקמת מרכז מידע סביבתי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הכנת דוח שנתי על פעילות האיגוד.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4.</w:t>
      </w:r>
      <w:r>
        <w:rPr>
          <w:lang w:bidi="he-IL"/>
          <w:rFonts w:hint="cs" w:cs="FrankRuehl"/>
          <w:szCs w:val="26"/>
          <w:rtl/>
        </w:rPr>
        <w:tab/>
        <w:t xml:space="preserve">המועצה תהא מורכבת מנציגי הרשויות המקומיות המאוגדות באיגוד כמפורט בתוספת הראשונה; כל רשות מקומית תמנה את נציגיה בתוך שישה חודשים מיום שנבחרה; תקופת כהונתו של חבר המועצה תהא כתקופת כהונתה של המועצה, בכפוף לסעיפים 12, 13 ו-14 לצו הוראות אחידות.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כהונתה של המועצה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תקופת כהונתה של המועצה היא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קיימת תמשיך בתפקידה אף אם תמה תקופת כהונתה לפי סעיף קטן (א), כל עוד לא נכנסה לתפקידה מועצה חדשה.</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w:t>
                </w:r>
              </w:p>
            </w:txbxContent>
          </v:textbox>
        </v:rect>
      </w:pict>
      <w:r>
        <w:rPr>
          <w:lang w:bidi="he-IL"/>
          <w:rFonts w:hint="cs" w:cs="FrankRuehl"/>
          <w:szCs w:val="26"/>
          <w:rtl/>
        </w:rPr>
        <w:t xml:space="preserve">6.</w:t>
      </w:r>
      <w:r>
        <w:rPr>
          <w:lang w:bidi="he-IL"/>
          <w:rFonts w:hint="cs" w:cs="FrankRuehl"/>
          <w:szCs w:val="26"/>
          <w:rtl/>
        </w:rPr>
        <w:tab/>
        <w:t xml:space="preserve">לשם ביצוע תפקידיו יהיו לאיגוד כל הסמכויות הנתונות לרשות מקומית על פי כל חיקוק; לצורך זה, בכל מקום בחיקוק שמדובר בו ב"עיריה", "מועצה מקומית" או "ראש רשות מקומית" יראו כאילו מדובר באיגוד או ביושב ראש האיגוד הכל לפי העניין, והוא כאשר אין הוראה אחרת לעניין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סמכויות</w:t>
                </w:r>
              </w:p>
            </w:txbxContent>
          </v:textbox>
        </v:rect>
      </w:pict>
      <w:r>
        <w:rPr>
          <w:lang w:bidi="he-IL"/>
          <w:rFonts w:hint="cs" w:cs="FrankRuehl"/>
          <w:szCs w:val="34"/>
          <w:rtl/>
        </w:rPr>
        <w:t xml:space="preserve">7.</w:t>
      </w:r>
      <w:r>
        <w:rPr>
          <w:lang w:bidi="he-IL"/>
          <w:rFonts w:hint="cs" w:cs="FrankRuehl"/>
          <w:szCs w:val="26"/>
          <w:rtl/>
        </w:rPr>
        <w:tab/>
        <w:t xml:space="preserve">למרות האמור בסעיף 10 לחוק ובסעיף 6 לצו זה, הענקת הסמכויות לאיגוד לשם ביצוע תפקידיו לפי צו זה, לא תשלול את סמכויות כל אחת מהרשויות המקומיות שבתחום האיגוד ולא תשחרר אותן מחובותיהן.</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(סעיפים 2 ו-4)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11ee603563444a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(איגוד ערים לאיכות הסביבה – אזור המשולש הדרומי), תשס"ח-2008,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e1cc82eb8b240b0" /><Relationship Type="http://schemas.openxmlformats.org/officeDocument/2006/relationships/hyperlink" Target="https://www.nevo.co.il/laws/#/63022517f003673b263c42c8/clause/6302286df003673b263c4373" TargetMode="External" Id="R511ee603563444a9" /><Relationship Type="http://schemas.openxmlformats.org/officeDocument/2006/relationships/header" Target="/word/header1.xml" Id="r97" /><Relationship Type="http://schemas.openxmlformats.org/officeDocument/2006/relationships/footer" Target="/word/footer1.xml" Id="r98" /></Relationships>
</file>