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73c3c8328e4b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בית הכרם הגלילי),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התקשוריות לפי הסכם של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בית הכרם הגלילי),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בית הכרם הגלילי"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לתפקיד המנהל הכללי הראשון של האשכול ימונה המנהל הכללי של תאגיד שהרשויות המקומיות החברות באשכול מחזיקות את מרבית מניותיו, אם החליטה כך מועצת האשכול, וסעיפים קטנים (א) עד (ד) לא יחולו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התקשוריות לפי הסכם של תאגיד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36 לצו איגודי ערים (הוראות אחידות), התשל"ז-1977, רשאי האשכול, באישור מועצת האשכול, אם שוכנע שהדבר נדרש מטעמי חיסכון ויעילות, להתקשר לקבלת שירותים או רכישת טובין לפי חוזה שעשה תאגיד שהרשויות המקומיות החברות באשכול מחזיקות את מרבית מניותיו, לפני הקמת האשכול בקשר לעניינים הנתונים במסגרת תפקידי האשכול ושנעשה בעקבות מכרז לפי הדין החל על עירייה בשינויים המחויבים, בתנאים ולתקופה שנכללו בחוזה שעשה התאגיד כאמור ולמעט זכות ברירה.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התקשרויות לפי סעיף קטן (א), תפורסם באתר האינטרנט של האשכול.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6.</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6d72f0f0de64fe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בית הכרם הגלילי), תשע"ח-2018,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50eccf251b48d9" /><Relationship Type="http://schemas.openxmlformats.org/officeDocument/2006/relationships/hyperlink" Target="https://www.nevo.co.il/laws/#/63035d0be64b18b6fe977b8a/clause/63036008e64b18b6fe977bec" TargetMode="External" Id="R56d72f0f0de64fe2" /><Relationship Type="http://schemas.openxmlformats.org/officeDocument/2006/relationships/header" Target="/word/header1.xml" Id="r97" /><Relationship Type="http://schemas.openxmlformats.org/officeDocument/2006/relationships/footer" Target="/word/footer1.xml" Id="r98" /></Relationships>
</file>