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a78bb24cc06a4b88"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צו איגודי ערים (אשכול רשויות הכנרת והעמקים), תשע"ח-2018</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הקמת אשכול רשויות מקומיות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תפקידי האשכול וסמכויותיו</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הרכב המועצה</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מינוי מנהל כללי</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ייסוד תאגיד</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bl>
        <w:br w:type="page"/>
      </w:r>
    </w:p>
    <w:p>
      <w:pPr>
        <w:bidi/>
        <w:spacing w:before="45" w:after="70" w:line="250" w:lineRule="auto"/>
        <w:jc w:val="center"/>
      </w:pPr>
      <w:defaultTabStop w:val="720"/>
      <w:r>
        <w:rPr>
          <w:lang w:bidi="he-IL"/>
          <w:rFonts w:hint="cs" w:cs="FrankRuehl"/>
          <w:szCs w:val="32"/>
          <w:rtl/>
        </w:rPr>
        <w:t xml:space="preserve">צו איגודי ערים (אשכול רשויות הכנרת והעמקים), תשע"ח-2018</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2, 8א, 9, 15, 16 ו-17ד1 לחוק איגודי ערים, התשט"ו-1955 (להלן – החוק), לאחר התייעצות עם שר האוצר ולבקשת הרשויות המקומיות המפורטות בתוספת, אני מצווה לאמור:</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הקמת אשכול רשויות מקומיות</w:t>
                </w:r>
              </w:p>
            </w:txbxContent>
          </v:textbox>
        </v:rect>
      </w:pict>
      <w:r>
        <w:rPr>
          <w:lang w:bidi="he-IL"/>
          <w:rFonts w:hint="cs" w:cs="FrankRuehl"/>
          <w:szCs w:val="34"/>
          <w:rtl/>
        </w:rPr>
        <w:t xml:space="preserve">1.</w:t>
      </w:r>
      <w:r>
        <w:rPr>
          <w:lang w:bidi="he-IL"/>
          <w:rFonts w:hint="cs" w:cs="FrankRuehl"/>
          <w:szCs w:val="26"/>
          <w:rtl/>
        </w:rPr>
        <w:tab/>
        <w:t xml:space="preserve">מוקם בזה איגוד ערים מסוג אשכול רשויות מקומיות שייקרא "אשכול רשויות הכנרת והעמקים" (להלן – האשכול), כדי לעודד פיתוח אזורי וקידום שיתופי פעולה בנושאים שונים בין הרשויות המקומיות החברות בו, שתחומו הוא שטח שיפוטן של הרשויות המקומיות שבתוספת.</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תפקידי האשכול וסמכויותיו</w:t>
                </w:r>
              </w:p>
            </w:txbxContent>
          </v:textbox>
        </v:rect>
      </w:pict>
      <w:r>
        <w:rPr>
          <w:lang w:bidi="he-IL"/>
          <w:rFonts w:hint="cs" w:cs="FrankRuehl"/>
          <w:szCs w:val="34"/>
          <w:rtl/>
        </w:rPr>
        <w:t xml:space="preserve">2.</w:t>
      </w:r>
      <w:r>
        <w:rPr>
          <w:lang w:bidi="he-IL"/>
          <w:rFonts w:hint="cs" w:cs="FrankRuehl"/>
          <w:szCs w:val="26"/>
          <w:rtl/>
        </w:rPr>
        <w:tab/>
        <w:t xml:space="preserve">אלה תפקידי האשכול וסמכויותיו:</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ליזום ולקדם פעולות לצורך הכנה וביצוע של תכניות לפיתוח אזורי ושיתופי פעולה בין הרשויות המקומיות החברות באשכול, בתחומים שעליהם תחליט מועצת האשכול, ואולם לא יהיה באמור כדי להקנות לאשכול את הסמכויות והתפקידים של כל אחת מהרשויות המקומיות שבתחומו בתחומים אלה, אלא לפי פסקה (2);</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ככל שרשות מקומית החברה באשכול אצלה לאשכול מסמכותה לפי כל חיקוק או הטילה עליו תפקיד שהוטל עליה לפי כל חיקוק בהתאם ובכפוף לסעיף 17ד1(2) לחוק, האיגוד יפעל במסגרת הסמכויות שנאצלו לו ויבצע את התפקידים שהוטלו עליו, כאמור.</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הרכב המועצה</w:t>
                </w:r>
              </w:p>
            </w:txbxContent>
          </v:textbox>
        </v:rect>
      </w:pict>
      <w:r>
        <w:rPr>
          <w:lang w:bidi="he-IL"/>
          <w:rFonts w:hint="cs" w:cs="FrankRuehl"/>
          <w:szCs w:val="34"/>
          <w:rtl/>
        </w:rPr>
        <w:t xml:space="preserve">3.</w:t>
      </w:r>
      <w:r>
        <w:rPr>
          <w:lang w:bidi="he-IL"/>
          <w:rFonts w:hint="cs" w:cs="FrankRuehl"/>
          <w:szCs w:val="26"/>
          <w:rtl/>
        </w:rPr>
        <w:tab/>
        <w:t xml:space="preserve">מועצת האשכול תהיה מורכבת מנציגי הרשויות המקומיות החברות באשכול כמפורט בתוספת.</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מינוי מנהל כללי</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מועצת האשכול תודיע בפומבי על כוונתה למנות מנהל כללי לאשכול ועל האפשרות להגיש מועמדות לתפקיד.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טרם החלטת המועצה על מינוי מנהל כללי לפי סעיף 8א לחוק תונח לפניה המלצה של ועדה לאיתור ולבחינת מועמדים בדבר המועמד המתאים ביותר למשרה.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הוועדה תקבע ותפרסם את מאפייני המשרה ואת תנאי הסף הנדרשים מן המועמדים, תבחן את כישוריהם וסגולותיהם של המועמדים למשרה בכל דרך שתיראה לה ותנמק את המלצותיה.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אלה יהיו חברי הוועדה לבחינת מועמדים לפי סעיף קטן (ב):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נציג הרשויות המקומיות החברות באשכול שתמנה מועצת האשכול, והוא יהיה יושב ראש הוועדה;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המנהל הכללי של משרד הפנים או נציגו;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מנהל כללי של איגוד ערים מסוג אשכול, שימנה המנהל הכללי של משרד הפנים.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המנהל הכללי ימונה לתקופת כהונה אחת של שמונה שנים.</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ייסוד תאגיד</w:t>
                </w:r>
              </w:p>
            </w:txbxContent>
          </v:textbox>
        </v:rect>
      </w:pict>
      <w:r>
        <w:rPr>
          <w:lang w:bidi="he-IL"/>
          <w:rFonts w:hint="cs" w:cs="FrankRuehl"/>
          <w:szCs w:val="34"/>
          <w:rtl/>
        </w:rPr>
        <w:t xml:space="preserve">5.</w:t>
      </w:r>
      <w:r>
        <w:rPr>
          <w:lang w:bidi="he-IL"/>
          <w:rFonts w:hint="cs" w:cs="FrankRuehl"/>
          <w:szCs w:val="26"/>
          <w:rtl/>
        </w:rPr>
        <w:tab/>
        <w:t xml:space="preserve">סעיף 146א לצו המועצות המקומיות, התשי"א-1950, יחול על האשכול בשינויים המחויבים.</w:t>
      </w:r>
    </w:p>
    <w:p>
      <w:pPr>
        <w:bidi/>
        <w:spacing w:before="70" w:after="5" w:line="250" w:lineRule="auto"/>
        <w:jc w:val="center"/>
      </w:pPr>
      <w:defaultTabStop w:val="720"/>
      <w:bookmarkStart w:name="h6" w:id="6"/>
      <w:bookmarkEnd w:id="6"/>
    </w:p>
    <w:p>
      <w:pPr>
        <w:bidi/>
        <w:spacing w:before="70" w:after="5" w:line="250" w:lineRule="auto"/>
        <w:jc w:val="center"/>
      </w:pPr>
      <w:defaultTabStop w:val="720"/>
      <w:r>
        <w:rPr>
          <w:lang w:bidi="he-IL"/>
          <w:rFonts w:hint="cs" w:cs="FrankRuehl"/>
          <w:szCs w:val="26"/>
          <w:b/>
          <w:bCs/>
          <w:rtl/>
        </w:rPr>
        <w:t xml:space="preserve">תוספת</w:t>
      </w:r>
    </w:p>
    <w:p>
      <w:pPr>
        <w:bidi/>
        <w:spacing w:before="45" w:after="5" w:line="250" w:lineRule="auto"/>
        <w:jc w:val="center"/>
      </w:pPr>
      <w:defaultTabStop w:val="720"/>
      <w:r>
        <w:rPr>
          <w:lang w:bidi="he-IL"/>
          <w:rFonts w:hint="cs" w:cs="FrankRuehl"/>
          <w:szCs w:val="26"/>
          <w:rtl/>
        </w:rPr>
        <w:t xml:space="preserve">(סעיפים 1 ו-3)</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50dc9fe0706d4f00">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אריה מכלוף דרעי</w:t>
                </w:r>
              </w:p>
              <w:p>
                <w:pPr>
                  <w:bidi/>
                  <w:spacing w:before="45" w:after="3" w:line="250" w:lineRule="auto"/>
                  <w:jc w:val="center"/>
                </w:pPr>
                <w:defaultTabStop w:val="720"/>
                <w:r>
                  <w:rPr>
                    <w:lang w:bidi="he-IL"/>
                    <w:rFonts w:hint="cs" w:cs="FrankRuehl"/>
                    <w:szCs w:val="22"/>
                    <w:rtl/>
                  </w:rPr>
                  <w:t xml:space="preserve">שר הפנים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צו איגודי ערים (אשכול רשויות הכנרת והעמקים), תשע"ח-2018, נוסח עדכני נכון ליום 19.09.2022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78ebef7180bb473e" /><Relationship Type="http://schemas.openxmlformats.org/officeDocument/2006/relationships/hyperlink" Target="https://www.nevo.co.il/laws/#/63038584e64b18b6fe977ff1/clause/63038c18e64b18b6fe978045" TargetMode="External" Id="R50dc9fe0706d4f00" /><Relationship Type="http://schemas.openxmlformats.org/officeDocument/2006/relationships/header" Target="/word/header1.xml" Id="r97" /><Relationship Type="http://schemas.openxmlformats.org/officeDocument/2006/relationships/footer" Target="/word/footer1.xml" Id="r98" /></Relationships>
</file>