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3ccec1a1d7794c69"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צו בית הדין לעבודה (סוגי החלטות שלא תינתן בהן רשות ערעור), תשע"ח-2017</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סוגי החלטות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שמירת דינים</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 ותחולה</w:t>
                </w:r>
              </w:p>
            </w:tc>
            <w:tc>
              <w:tcPr>
                <w:tcW w:w="800" w:type="pct"/>
              </w:tcPr>
              <w:p>
                <w:pPr>
                  <w:bidi/>
                  <w:spacing w:before="45" w:after="5" w:line="250" w:lineRule="auto"/>
                </w:pPr>
                <w:defaultTabStop w:val="720"/>
                <w:r>
                  <w:rPr>
                    <w:lang w:bidi="he-IL"/>
                    <w:rFonts w:hint="cs" w:cs="Times New Roman"/>
                    <w:szCs w:val="24"/>
                    <w:rtl/>
                  </w:rPr>
                  <w:t xml:space="preserve">סעיף 3</w:t>
                </w:r>
              </w:p>
            </w:tc>
          </w:tr>
        </w:tbl>
        <w:br w:type="page"/>
      </w:r>
    </w:p>
    <w:p>
      <w:pPr>
        <w:bidi/>
        <w:spacing w:before="45" w:after="70" w:line="250" w:lineRule="auto"/>
        <w:jc w:val="center"/>
      </w:pPr>
      <w:defaultTabStop w:val="720"/>
      <w:r>
        <w:rPr>
          <w:lang w:bidi="he-IL"/>
          <w:rFonts w:hint="cs" w:cs="FrankRuehl"/>
          <w:szCs w:val="32"/>
          <w:rtl/>
        </w:rPr>
        <w:t xml:space="preserve">צו בית הדין לעבודה (סוגי החלטות שלא תינתן בהן רשות ערעור), תשע"ח-2017</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סעיף 26(א1) לחוק בית הדין לעבודה, התשכ"ט-1969 (להלן – החוק), לאחר התייעצות עם שר העבודה הרווחה והשירותים החברתיים, ובאישור ועדת החוקה חוק ומשפט של הכנסת, אני מצווה לאמור:</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סוגי החלטות</w:t>
                </w:r>
              </w:p>
            </w:txbxContent>
          </v:textbox>
        </v:rect>
      </w:pict>
      <w:r>
        <w:rPr>
          <w:lang w:bidi="he-IL"/>
          <w:rFonts w:hint="cs" w:cs="FrankRuehl"/>
          <w:szCs w:val="34"/>
          <w:rtl/>
        </w:rPr>
        <w:t xml:space="preserve">1.</w:t>
      </w:r>
      <w:r>
        <w:rPr>
          <w:lang w:bidi="he-IL"/>
          <w:rFonts w:hint="cs" w:cs="FrankRuehl"/>
          <w:szCs w:val="26"/>
          <w:rtl/>
        </w:rPr>
        <w:tab/>
        <w:t xml:space="preserve">לא תינתן רשות ערעור על החלטה מן הסוגים המפורטים להלן: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החלטה בעניין קביעה ושינוי של מועדי דיון ומועדים להגשת בקשות, תגובות, כתבי טענות, מסמכים, סיכומים ותצהירים זולת אם ניתנה באחד מן ההליכים האלה: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(א)</w:t>
      </w:r>
      <w:r>
        <w:rPr>
          <w:lang w:bidi="he-IL"/>
          <w:rFonts w:hint="cs" w:cs="FrankRuehl"/>
          <w:szCs w:val="26"/>
          <w:rtl/>
        </w:rPr>
        <w:tab/>
        <w:t xml:space="preserve">לפי סעיפים 24(א)(1ב), (1ג), (1ד) ו-(2) לחוק;</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(ב)</w:t>
      </w:r>
      <w:r>
        <w:rPr>
          <w:lang w:bidi="he-IL"/>
          <w:rFonts w:hint="cs" w:cs="FrankRuehl"/>
          <w:szCs w:val="26"/>
          <w:rtl/>
        </w:rPr>
        <w:tab/>
        <w:t xml:space="preserve">מתן סעד זמני לפי סעיף 29(א) לחוק ובכלל זה בקשה לסעד זמני שנדונה עם תובענה כאמור בתקנה 369 לתקנות סדר הדין האזרחי, התשמ"ד-1984;</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(ג)</w:t>
      </w:r>
      <w:r>
        <w:rPr>
          <w:lang w:bidi="he-IL"/>
          <w:rFonts w:hint="cs" w:cs="FrankRuehl"/>
          <w:szCs w:val="26"/>
          <w:rtl/>
        </w:rPr>
        <w:tab/>
        <w:t xml:space="preserve">לפי סעיפים 33ח ו-33יא לחוק הסכמים קיבוציים, התשי"ז-1957;</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החלטה בבקשה להארכת מועד הקבוע בחיקוק, למעט החלטה הניתנת לפי סעיף 24(א)(2) לחוק ולמעט החלטה כאמור שמשמעותה שלילת האפשרות לפתוח בהליך;</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החלטה בעניין שלבי דיון בהליך, למעט החלטה שדיון יישמע במפוצל או שיתקיים דיון נפרד בתביעה שכנגד ובהודעה לצד שלישי;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החלטה בעניין הזמנת עדים, סדר שמיעת עדים של אחד מבעלי הדין ושאלות המוצגות לעדים לרבות קבלה או דחייה של התנגדות בעניין זה, למעט החלטה על דחיית בקשה לזמן עד או להגיש ראיה, או החלטה בעניין בקשה לעדות מוקדמת; הוראה זו לא תחול על החלטות בעניין מומחה רפואי מטעם בית דין לעבודה;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החלטה בעניין סדר הבאת עדויות ואופן הגשת עדויות של אחד מבעלי הדין, למעט החלטה בעניין מתן עדות מחוץ לכותלי בית הדין, ובכלל זה בהיוועדות חזותית;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(6)</w:t>
      </w:r>
      <w:r>
        <w:rPr>
          <w:lang w:bidi="he-IL"/>
          <w:rFonts w:hint="cs" w:cs="FrankRuehl"/>
          <w:szCs w:val="26"/>
          <w:rtl/>
        </w:rPr>
        <w:tab/>
        <w:t xml:space="preserve">החלטה שהיא קבלת בקשה לביטול פסק דין או לביטול החלטה;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(7)</w:t>
      </w:r>
      <w:r>
        <w:rPr>
          <w:lang w:bidi="he-IL"/>
          <w:rFonts w:hint="cs" w:cs="FrankRuehl"/>
          <w:szCs w:val="26"/>
          <w:rtl/>
        </w:rPr>
        <w:tab/>
        <w:t xml:space="preserve">החלטה בעניין הטלת הוצאות משפט ושכר טרחת עורך דין ושיעורם, למעט אם ניתנה לאחר מתן פסק הדין ואינה נבלעת בו;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(8)</w:t>
      </w:r>
      <w:r>
        <w:rPr>
          <w:lang w:bidi="he-IL"/>
          <w:rFonts w:hint="cs" w:cs="FrankRuehl"/>
          <w:szCs w:val="26"/>
          <w:rtl/>
        </w:rPr>
        <w:tab/>
        <w:t xml:space="preserve">החלטה לפי סימן ט' לפרק ב' לתקנות בית הדין לעבודה (סדרי דין), התשנ"ב-1991, למעט החלטה בעניין גילוי מסמך פלוני, עיון במסמכים ובעניין טענת חיסיון.</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שמירת דינים</w:t>
                </w:r>
              </w:p>
            </w:txbxContent>
          </v:textbox>
        </v:rect>
      </w:pict>
      <w:r>
        <w:rPr>
          <w:lang w:bidi="he-IL"/>
          <w:rFonts w:hint="cs" w:cs="FrankRuehl"/>
          <w:szCs w:val="34"/>
          <w:rtl/>
        </w:rPr>
        <w:t xml:space="preserve">2.</w:t>
      </w:r>
      <w:r>
        <w:rPr>
          <w:lang w:bidi="he-IL"/>
          <w:rFonts w:hint="cs" w:cs="FrankRuehl"/>
          <w:szCs w:val="26"/>
          <w:rtl/>
        </w:rPr>
        <w:tab/>
        <w:t xml:space="preserve">אין באמור בצו זה כדי לגרוע מזכותו על פי דין של בעל דין לערער על החלטות מן הסוגים המפורטים בו במסגרת ערעור על פסק דין.</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 ותחולה</w:t>
                </w:r>
              </w:p>
            </w:txbxContent>
          </v:textbox>
        </v:rect>
      </w:pict>
      <w:r>
        <w:rPr>
          <w:lang w:bidi="he-IL"/>
          <w:rFonts w:hint="cs" w:cs="FrankRuehl"/>
          <w:szCs w:val="34"/>
          <w:rtl/>
        </w:rPr>
        <w:t xml:space="preserve">3.</w:t>
      </w:r>
      <w:r>
        <w:rPr>
          <w:lang w:bidi="he-IL"/>
          <w:rFonts w:hint="cs" w:cs="FrankRuehl"/>
          <w:szCs w:val="26"/>
          <w:rtl/>
        </w:rPr>
        <w:tab/>
        <w:t xml:space="preserve">תחילתו של צו זה 30 ימים מיום פרסומו, והוא יחול, כאמור בסעיף 26(א1) לחוק, על החלטה שהתקבלה לאחר תחילתו.</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איילת שקד</w:t>
                </w:r>
              </w:p>
              <w:p>
                <w:pPr>
                  <w:bidi/>
                  <w:spacing w:before="45" w:after="3" w:line="250" w:lineRule="auto"/>
                  <w:jc w:val="center"/>
                </w:pPr>
                <w:defaultTabStop w:val="720"/>
                <w:r>
                  <w:rPr>
                    <w:lang w:bidi="he-IL"/>
                    <w:rFonts w:hint="cs" w:cs="FrankRuehl"/>
                    <w:szCs w:val="22"/>
                    <w:rtl/>
                  </w:rPr>
                  <w:t xml:space="preserve">שרת המשפטים</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צו בית הדין לעבודה (סוגי החלטות שלא תינתן בהן רשות ערעור), תשע"ח-2017,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875fc2699f8b4239" /><Relationship Type="http://schemas.openxmlformats.org/officeDocument/2006/relationships/header" Target="/word/header1.xml" Id="r97" /><Relationship Type="http://schemas.openxmlformats.org/officeDocument/2006/relationships/footer" Target="/word/footer1.xml" Id="r98" /></Relationships>
</file>