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7ce77792947a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היטלי סחר ואמצעי הגנה (היטל היצף על יבוא של כבלי נחושת למתח נמוך מטורקיה) (הוראת שעה),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הטלת היטל היצף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היטלי סחר ואמצעי הגנה (היטל היצף על יבוא של כבלי נחושת למתח נמוך מטורקיה) (הוראת שעה),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32כט(ג)(1) לחוק היטלי סחר ואמצעי הגנה, התשנ"א-1991 (להלן – החוק), לאחר שקיבלתי לידי את מסקנותיה והמלצותיה של הוועדה המייעצת, באישור ועדת הכספים של הכנסת לפי סעיף 56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"טובין" – כבלי נחושת למתח נמוך, הכלולים בפרט המכס 85.44.4990 למעט סוגי המוצרים המתוארים בתוספת;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"ערך העסקה" – כמשמעותה בסעיפים 130 עד 133ג לפקודת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 המכס" – כמשמעותו בצו תעריף המכס והפטורים ומס קנייה על טובין, התשע"ז-2017.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הטלת היטל היצף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6011b5223a75411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תוקפו של צו זה לחמש שנים מיום פרסומו.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להלן פירוט המוצרים שאינם נדרשים בתשלום היטל ההיצף לשם שחרורם מהמכס על אף היותם כלולים בפרט המכס 85.44.4990: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4622775068df4d4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42655a37ccb5445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כבלי נחושת מסוג ניאופרן HO7RNF עם בידוד מגומי (Copper cables types neoprene H07RNF rubber insulated).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כבלי סיליקון: כבלי נחושת חסיני אש עם בידוד סיליקון מסוג SIAF, SIAF/GL, SIF (Flame resistant copper cables with silicone insulation, type SIAF, SIAF/GL, SIF).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כבלי סיליקון (SIMH/SIHF): כבלי נחושת חסיני אש עם בידוד סיליקון מסוג SIMH/SIHF (Flame resistant copper cables with silicone insulation, type SIMH/SIHF).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כבלי פוליאוריטן (TUP/PUR/HO7B-Q): כבלי נחושת עם בידוד או מעטה פוליאוריתן מסוג TUP/PUR/HO7B-Q (Copper cable with polyurethane insulation and/or cover, type TUP/PUR/HO7B-Q).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כבלי נחושת עם מוליך נחושת גמיש ומעטה PVC מסוג גרילנדה/גירלנדה (Copper
cables with flexible copper conductor and PVC cover, type Guirlanda).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כבלים במעטה פוליאוריתן HO7BQ-F כבלי נחושת עם בידוד או מעטה פוליאוראותן מסוג TPU/PUR/HO7B-U.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כבלים למערכות פיקוד: כבלים חסיני אש או עמידים באש, מהסוגים האלה:
NHXH FE180/E90 and JE–H(St)H FE180/E90 or JE–H(St)HFE180/PH90.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כבל ג'ל (כבלי טלפון) Telephone KPDF cables KPDF ,KPDF.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Bare copper.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כבלי נחושת שטוחים מסוג H07VVH6–F.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כבלי נחושת מדגם H1Z2Z2–K, מתח עבודה DC: KV 1.5 ומתח עבודה AC: KV 1.0.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כבלי נחושת גמישים לפיקוד ונתונים, מסוככים ושאינם מסוככים מהסוגים האלה:
LIYCY, YSLY–JZ, LIYY, YSLCY–JZ.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HO5BQ–F.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כבלים המוגדרים למתח עבודה עד 60 וולט ובעלי תקן ISO 6722–3 Din 72551.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r>
        <w:rPr>
          <w:lang w:bidi="he-IL"/>
          <w:rFonts w:hint="cs" w:cs="FrankRuehl"/>
          <w:szCs w:val="34"/>
          <w:rtl/>
        </w:rPr>
        <w:t xml:space="preserve">17.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 NYY–FR.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2" w:id="22"/>
      <w:bookmarkEnd w:id="22"/>
      <w:r>
        <w:rPr>
          <w:lang w:bidi="he-IL"/>
          <w:rFonts w:hint="cs" w:cs="FrankRuehl"/>
          <w:szCs w:val="34"/>
          <w:rtl/>
        </w:rPr>
        <w:t xml:space="preserve">18.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LIHY.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3" w:id="23"/>
      <w:bookmarkEnd w:id="23"/>
      <w:r>
        <w:rPr>
          <w:lang w:bidi="he-IL"/>
          <w:rFonts w:hint="cs" w:cs="FrankRuehl"/>
          <w:szCs w:val="34"/>
          <w:rtl/>
        </w:rPr>
        <w:t xml:space="preserve">19.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LIHCY.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r>
        <w:rPr>
          <w:lang w:bidi="he-IL"/>
          <w:rFonts w:hint="cs" w:cs="FrankRuehl"/>
          <w:szCs w:val="34"/>
          <w:rtl/>
        </w:rPr>
        <w:t xml:space="preserve">20.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3x25+16.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5" w:id="25"/>
      <w:bookmarkEnd w:id="25"/>
      <w:r>
        <w:rPr>
          <w:lang w:bidi="he-IL"/>
          <w:rFonts w:hint="cs" w:cs="FrankRuehl"/>
          <w:szCs w:val="34"/>
          <w:rtl/>
        </w:rPr>
        <w:t xml:space="preserve">21.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3X35+16.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6" w:id="26"/>
      <w:bookmarkEnd w:id="26"/>
      <w:r>
        <w:rPr>
          <w:lang w:bidi="he-IL"/>
          <w:rFonts w:hint="cs" w:cs="FrankRuehl"/>
          <w:szCs w:val="34"/>
          <w:rtl/>
        </w:rPr>
        <w:t xml:space="preserve">22.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3X50+25.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7" w:id="27"/>
      <w:bookmarkEnd w:id="27"/>
      <w:r>
        <w:rPr>
          <w:lang w:bidi="he-IL"/>
          <w:rFonts w:hint="cs" w:cs="FrankRuehl"/>
          <w:szCs w:val="34"/>
          <w:rtl/>
        </w:rPr>
        <w:t xml:space="preserve">23.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3X70+35.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8" w:id="28"/>
      <w:bookmarkEnd w:id="28"/>
      <w:r>
        <w:rPr>
          <w:lang w:bidi="he-IL"/>
          <w:rFonts w:hint="cs" w:cs="FrankRuehl"/>
          <w:szCs w:val="34"/>
          <w:rtl/>
        </w:rPr>
        <w:t xml:space="preserve">24.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3X95+50.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9" w:id="29"/>
      <w:bookmarkEnd w:id="29"/>
      <w:r>
        <w:rPr>
          <w:lang w:bidi="he-IL"/>
          <w:rFonts w:hint="cs" w:cs="FrankRuehl"/>
          <w:szCs w:val="34"/>
          <w:rtl/>
        </w:rPr>
        <w:t xml:space="preserve">25.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3X120+70.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0" w:id="30"/>
      <w:bookmarkEnd w:id="30"/>
      <w:r>
        <w:rPr>
          <w:lang w:bidi="he-IL"/>
          <w:rFonts w:hint="cs" w:cs="FrankRuehl"/>
          <w:szCs w:val="34"/>
          <w:rtl/>
        </w:rPr>
        <w:t xml:space="preserve">26.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3X150+70.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1" w:id="31"/>
      <w:bookmarkEnd w:id="31"/>
      <w:r>
        <w:rPr>
          <w:lang w:bidi="he-IL"/>
          <w:rFonts w:hint="cs" w:cs="FrankRuehl"/>
          <w:szCs w:val="34"/>
          <w:rtl/>
        </w:rPr>
        <w:t xml:space="preserve">27.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3x185+95.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2" w:id="32"/>
      <w:bookmarkEnd w:id="32"/>
      <w:r>
        <w:rPr>
          <w:lang w:bidi="he-IL"/>
          <w:rFonts w:hint="cs" w:cs="FrankRuehl"/>
          <w:szCs w:val="34"/>
          <w:rtl/>
        </w:rPr>
        <w:t xml:space="preserve">28.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3X240+120.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3" w:id="33"/>
      <w:bookmarkEnd w:id="33"/>
      <w:r>
        <w:rPr>
          <w:lang w:bidi="he-IL"/>
          <w:rFonts w:hint="cs" w:cs="FrankRuehl"/>
          <w:szCs w:val="34"/>
          <w:rtl/>
        </w:rPr>
        <w:t xml:space="preserve">29.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4X35.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4" w:id="34"/>
      <w:bookmarkEnd w:id="34"/>
      <w:r>
        <w:rPr>
          <w:lang w:bidi="he-IL"/>
          <w:rFonts w:hint="cs" w:cs="FrankRuehl"/>
          <w:szCs w:val="34"/>
          <w:rtl/>
        </w:rPr>
        <w:t xml:space="preserve">30.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5" w:id="35"/>
      <w:bookmarkEnd w:id="35"/>
      <w:r>
        <w:rPr>
          <w:lang w:bidi="he-IL"/>
          <w:rFonts w:hint="cs" w:cs="FrankRuehl"/>
          <w:szCs w:val="34"/>
          <w:rtl/>
        </w:rPr>
        <w:t xml:space="preserve">31.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4X95.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6" w:id="36"/>
      <w:bookmarkEnd w:id="36"/>
      <w:r>
        <w:rPr>
          <w:lang w:bidi="he-IL"/>
          <w:rFonts w:hint="cs" w:cs="FrankRuehl"/>
          <w:szCs w:val="34"/>
          <w:rtl/>
        </w:rPr>
        <w:t xml:space="preserve">32.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4X120.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7" w:id="37"/>
      <w:bookmarkEnd w:id="37"/>
      <w:r>
        <w:rPr>
          <w:lang w:bidi="he-IL"/>
          <w:rFonts w:hint="cs" w:cs="FrankRuehl"/>
          <w:szCs w:val="34"/>
          <w:rtl/>
        </w:rPr>
        <w:t xml:space="preserve">33.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4X150.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8" w:id="38"/>
      <w:bookmarkEnd w:id="38"/>
      <w:r>
        <w:rPr>
          <w:lang w:bidi="he-IL"/>
          <w:rFonts w:hint="cs" w:cs="FrankRuehl"/>
          <w:szCs w:val="34"/>
          <w:rtl/>
        </w:rPr>
        <w:t xml:space="preserve">34.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4X185.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9" w:id="39"/>
      <w:bookmarkEnd w:id="39"/>
      <w:r>
        <w:rPr>
          <w:lang w:bidi="he-IL"/>
          <w:rFonts w:hint="cs" w:cs="FrankRuehl"/>
          <w:szCs w:val="34"/>
          <w:rtl/>
        </w:rPr>
        <w:t xml:space="preserve">35.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4X240.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0" w:id="40"/>
      <w:bookmarkEnd w:id="40"/>
      <w:r>
        <w:rPr>
          <w:lang w:bidi="he-IL"/>
          <w:rFonts w:hint="cs" w:cs="FrankRuehl"/>
          <w:szCs w:val="34"/>
          <w:rtl/>
        </w:rPr>
        <w:t xml:space="preserve">36.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5X25.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1" w:id="41"/>
      <w:bookmarkEnd w:id="41"/>
      <w:r>
        <w:rPr>
          <w:lang w:bidi="he-IL"/>
          <w:rFonts w:hint="cs" w:cs="FrankRuehl"/>
          <w:szCs w:val="34"/>
          <w:rtl/>
        </w:rPr>
        <w:t xml:space="preserve">37.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N2XY 5X35.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2" w:id="42"/>
      <w:bookmarkEnd w:id="42"/>
      <w:r>
        <w:rPr>
          <w:lang w:bidi="he-IL"/>
          <w:rFonts w:hint="cs" w:cs="FrankRuehl"/>
          <w:szCs w:val="34"/>
          <w:rtl/>
        </w:rPr>
        <w:t xml:space="preserve">38.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H07V–R 1X120.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3" w:id="43"/>
      <w:bookmarkEnd w:id="43"/>
      <w:r>
        <w:rPr>
          <w:lang w:bidi="he-IL"/>
          <w:rFonts w:hint="cs" w:cs="FrankRuehl"/>
          <w:szCs w:val="34"/>
          <w:rtl/>
        </w:rPr>
        <w:t xml:space="preserve">39.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H07V–R 1X150.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4" w:id="44"/>
      <w:bookmarkEnd w:id="44"/>
      <w:r>
        <w:rPr>
          <w:lang w:bidi="he-IL"/>
          <w:rFonts w:hint="cs" w:cs="FrankRuehl"/>
          <w:szCs w:val="34"/>
          <w:rtl/>
        </w:rPr>
        <w:t xml:space="preserve">40.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H07V–R 1X185.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5" w:id="45"/>
      <w:bookmarkEnd w:id="45"/>
      <w:r>
        <w:rPr>
          <w:lang w:bidi="he-IL"/>
          <w:rFonts w:hint="cs" w:cs="FrankRuehl"/>
          <w:szCs w:val="34"/>
          <w:rtl/>
        </w:rPr>
        <w:t xml:space="preserve">41.</w:t>
      </w:r>
      <w:r>
        <w:rPr>
          <w:lang w:bidi="he-IL"/>
          <w:rFonts w:hint="cs" w:cs="FrankRuehl"/>
          <w:szCs w:val="26"/>
          <w:rtl/>
        </w:rPr>
        <w:tab/>
        <w:t xml:space="preserve">כבל נחושת מסוג H07V–R 1X240.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6" w:id="46"/>
      <w:bookmarkEnd w:id="46"/>
      <w:r>
        <w:rPr>
          <w:lang w:bidi="he-IL"/>
          <w:rFonts w:hint="cs" w:cs="FrankRuehl"/>
          <w:szCs w:val="34"/>
          <w:rtl/>
        </w:rPr>
        <w:t xml:space="preserve">42.</w:t>
      </w:r>
      <w:r>
        <w:rPr>
          <w:lang w:bidi="he-IL"/>
          <w:rFonts w:hint="cs" w:cs="FrankRuehl"/>
          <w:szCs w:val="26"/>
          <w:rtl/>
        </w:rPr>
        <w:tab/>
        <w:t xml:space="preserve">כבלי נחושת גמישים לפיקוד ונתונים, מסוככים ושאינם מסוככים מהסוגים האלה: HSLY, HSLCY.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7" w:id="47"/>
      <w:bookmarkEnd w:id="47"/>
      <w:r>
        <w:rPr>
          <w:lang w:bidi="he-IL"/>
          <w:rFonts w:hint="cs" w:cs="FrankRuehl"/>
          <w:szCs w:val="34"/>
          <w:rtl/>
        </w:rPr>
        <w:t xml:space="preserve">43.</w:t>
      </w:r>
      <w:r>
        <w:rPr>
          <w:lang w:bidi="he-IL"/>
          <w:rFonts w:hint="cs" w:cs="FrankRuehl"/>
          <w:szCs w:val="26"/>
          <w:rtl/>
        </w:rPr>
        <w:tab/>
        <w:t xml:space="preserve">כבלי נחושת לאיתות או בקרה למתח נמוך מהסוגים האלה:
AJ–2Y(L)HDBH, AJ–2YTF(L)HDBH, A–2Y–RM–St/Cu, B–FS–AHDQH.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ניר ברקת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 והתעשייה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היטלי סחר ואמצעי הגנה (היטל היצף על יבוא של כבלי נחושת למתח נמוך מטורקיה) (הוראת שעה), תשפ"ג-2023, נוסח עדכני נכון ליום 17.04.2023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fd156ce4804971" /><Relationship Type="http://schemas.openxmlformats.org/officeDocument/2006/relationships/hyperlink" Target="https://www.nevo.co.il/laws/#/642c17a3a82ef90358a61cc9/clause/642c19d6a82ef90358a61ce9" TargetMode="External" Id="R6011b5223a75411c" /><Relationship Type="http://schemas.openxmlformats.org/officeDocument/2006/relationships/hyperlink" Target="https://www.nevo.co.il/laws/#/642c17a3a82ef90358a61cc9/clause/642c1f5ea82ef90358a61cf8" TargetMode="External" Id="R4622775068df4d42" /><Relationship Type="http://schemas.openxmlformats.org/officeDocument/2006/relationships/hyperlink" Target="https://www.nevo.co.il/laws/#/642c17a3a82ef90358a61cc9/clause/642c214da82ef90358a61cfc" TargetMode="External" Id="R42655a37ccb5445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