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15d952f4845b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עכו לבין המועצה האזורית מטה אשר),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עכו לבין המועצה האזורית מטה אשר),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העיריות, ולפי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והיטלי פיתוח המתקבלים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החתומה ביד שרת הפנים ביום כ"ז בניסן התשפ"ב (28 באפריל 2022), ושהעתקים ממנה מופקדים במשרד הפנים, ירושלים, במשרד הממונה על מחוז הצפון, נוף הגליל,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"עודף ההכנסות" – סכום 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95% מההכנסות מארנונה כללית;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ההכנסות מהיטלי פיתוח;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עיריית עכו והמועצה האזורית מטה אשר.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
גוש 10525 – חלק מחלקה 4;
גוש 12720 – חלקות 29, 30, 54, 55, 57 וחלק מחלקות 24 ו-31;
גוש 18030 – חלק מחלקה 38;
גוש 10323 – חלקות 1 עד 5, 7 עד 10 וחלק מחלקות 6, 11 ו-12;
גוש 18031 – חלק מחלקות 2, 28 ו-30;
גוש 18032 – חלק מחלקה 39;
גוש 18042 – חלקות 6, 129, 130, 133, 137, 138 וחלק מחלקות 15, 21, 114, 116, 131 ו-136;
גוש 18057 – חלק מחלקות 16 ו-48.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עודף ההכנסות יחולק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עיריית עכו – 50%;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מטה אשר – 50%.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עיריית עכו תעביר למועצה האזורית מטה אשר את עודפי ההכנסות לפי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עיריית עכו יערוך בכל רבעון דוח רבעוני של כלל ההכנסות באזור חלוקת ההכנסות (להלן – הדוח הרבעוני), ולפיו יועברו עודפי ההכנסות למועצה האזורית מטה אשר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ועודפי ההכנסות יועברו למועצה האזורית מטה אשר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מטה אשר רשאית, בתוך 21 ימים מיום שהועבר לידיה הדוח הרבעוני, לדרוש מעיריית עכו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עיריית עכו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עודפי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העיריות (חלוקת הכנסות בין עיריית עכו לבין המועצה האזורית מטה אשר),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96923fb61346a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