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e093a67a6b24e3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התכנון והבנייה (פטור מתוכנית והיתר להצבת תחנת משנה ניידת),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הפטור ותנאיו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המצב לקדמותו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צו התכנון והבנייה (פטור מתוכנית והיתר להצבת תחנת משנה ניידת),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266ה(ב) לחוק התכנון והבנייה, התשכ"ה-1965, ולאחר התייעצות עם המועצה הארצית לתכנון ולבנייה,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 מיקום זמני לתחנת משנה ניידת בגבולות השטח כפי שמסומן ומפורט בתשריט שבתוספת, החתום בידי מיום י"ד בכסלו התשפ"ג (8 בדצמבר 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זכות במקרקעין" – גורם שהסכמתו דרושה לבקשה להיתר, לפי תקנה 36(ו) לתקנות התכנון והבנייה (רישוי בנייה),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משנה ניידת" – מבנה יביל, הכולל שנאי, ומתחבר לרשת החשמל העילית באמצעות תיילים וכולל נגרר אחד או שני נגררים.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הפטור ותנאיו</w:t>
                </w:r>
              </w:p>
            </w:txbxContent>
          </v:textbox>
        </v:rect>
      </w:pict>
      <w:r>
        <w:rPr>
          <w:lang w:bidi="he-IL"/>
          <w:rFonts w:hint="cs" w:cs="FrankRuehl"/>
          <w:szCs w:val="34"/>
          <w:rtl/>
        </w:rPr>
        <w:t xml:space="preserve">2.</w:t>
      </w:r>
      <w:r>
        <w:rPr>
          <w:lang w:bidi="he-IL"/>
          <w:rFonts w:hint="cs" w:cs="FrankRuehl"/>
          <w:szCs w:val="26"/>
          <w:rtl/>
        </w:rPr>
        <w:tab/>
        <w:t xml:space="preserve">אני מתירה לחברת החשמל לישראל להציב באתר תחנת משנה ניידת ולהשתמש בה, בפטור מתוכנית ומהיתר, ובלבד שהתקיימו בה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התקבלה הסכמת בעל הזכות במקרקעין שבו ממוקם האתר;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שטחה של תחנת משנה ניידת לא יעלה על 150 מטרים מרובעים, וגובהה לא יעלה על 10 מטרים; גובה הגדר המקיפה אותה לא יעלה על 3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הצבת תחנת משנה ניידת ושימוש בה יהיו לתקופה שלא תעלה על חמש שנים מיום פרסומו של צו זה; ואולם אם חברת נגה – ניהול מערכת החשמל בע"מ לא תגיש תוכנית לתחנת משנה קבועה לצורך אספקת חשמל ליישובי צפון רמת הגולן בתוך 18 חודשים מיום פרסומו של צו זה, יפקע תוקפו של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הצבת תחנת המשנה הניידת תהיה מתחת לקו 161 קילו-וולט קיים, לא יוטלו מגבלות מעבר למגבלות הקו האמור ומיקום עמודי החשמל הקיימים, גובהם וצורתם לא ישתנו.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המצב לקדמותו</w:t>
                </w:r>
              </w:p>
            </w:txbxContent>
          </v:textbox>
        </v:rect>
      </w:pict>
      <w:r>
        <w:rPr>
          <w:lang w:bidi="he-IL"/>
          <w:rFonts w:hint="cs" w:cs="FrankRuehl"/>
          <w:szCs w:val="34"/>
          <w:rtl/>
        </w:rPr>
        <w:t xml:space="preserve">3.</w:t>
      </w:r>
      <w:r>
        <w:rPr>
          <w:lang w:bidi="he-IL"/>
          <w:rFonts w:hint="cs" w:cs="FrankRuehl"/>
          <w:szCs w:val="26"/>
          <w:rtl/>
        </w:rPr>
        <w:tab/>
        <w:t xml:space="preserve">עם הקמת תחנת המשנה הקבועה ולאחר חשמולה לפי אישור מנהל מינהל החשמל או עם פקיעת צו זה, לפי המוקדם, חברת חשמל לישראל תפרק את תחנת המשנה הניידת, תשקם את השטח ותחזיר אותו לקדמותו, תוך טיפול במינים פולשים. עם גמר ביצוע העבודות ושיקום השטח חברת החשמל תערוך תוכנית עדות (AS MADE) ותעביר עותק ממנה למשרדי הוועדה המחוזית לתכנון ולבנייה מחוז הצפון והוועדה המקומית גולן ולמינהל התכנון.</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4d740671907d496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התכנון והבנייה (פטור מתוכנית והיתר להצבת תחנת משנה ניידת),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79493af2384970" /><Relationship Type="http://schemas.openxmlformats.org/officeDocument/2006/relationships/hyperlink" Target="https://www.nevo.co.il/laws/#/6395f99a608d3fa98ade9256/clause/6395fafa608d3fa98ade9292" TargetMode="External" Id="R4d740671907d4964" /><Relationship Type="http://schemas.openxmlformats.org/officeDocument/2006/relationships/header" Target="/word/header1.xml" Id="r97" /><Relationship Type="http://schemas.openxmlformats.org/officeDocument/2006/relationships/footer" Target="/word/footer1.xml" Id="r98" /></Relationships>
</file>