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019993e6274a7d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כלי היריה (קביעת דמי משמורת ועמילות), תשל"ד-1974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דמי משמורת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דמי עמילות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 ראשונה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 שניה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כלי היריה (קביעת דמי משמורת ועמילות), תשל"ד-1974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14ב ו-14ג לחוק כלי היריה, תש"ט-1949,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דמי משמורת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בעד קבלת כלי יריה למשמורת ישולמו לסוחר מורשה דמי משמורת כמפורט בתוספת הראשונה.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דמי עמילות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בעד עמילות למכירת כלי יריה ישולמו לסוחר מורשה דמי עמילות כמפורט בתוספת השניה.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השלושים לאחר פרסומו.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צו כלי היריה (שיעור התשלום בעד בדיקת כלי יריה ודמי עמילות במכירתו), תשי"ד-1954 – בטל.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לצו זה ייקרא "צו כלי היריה (קביעת דמי משמורת ועמילות), תשל"ד-1974".</w:t>
      </w:r>
    </w:p>
    <w:p>
      <w:pPr>
        <w:bidi/>
        <w:spacing w:before="70" w:after="5" w:line="250" w:lineRule="auto"/>
        <w:jc w:val="center"/>
      </w:pPr>
      <w:defaultTabStop w:val="720"/>
      <w:bookmarkStart w:name="h6" w:id="6"/>
      <w:bookmarkEnd w:id="6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 ראשונה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525fe9c9a0bc4c80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70" w:after="5" w:line="250" w:lineRule="auto"/>
        <w:jc w:val="center"/>
      </w:pPr>
      <w:defaultTabStop w:val="720"/>
      <w:bookmarkStart w:name="h7" w:id="7"/>
      <w:bookmarkEnd w:id="7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 שניה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fa136492bf02419f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יוסף בורג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כלי היריה (קביעת דמי משמורת ועמילות), תשל"ד-1974,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3dbf6c443e94e65" /><Relationship Type="http://schemas.openxmlformats.org/officeDocument/2006/relationships/hyperlink" Target="https://www.nevo.co.il/laws/#/617ecbb0e27c735463c98f72/clause/61beff9dab9dac9494651457" TargetMode="External" Id="R525fe9c9a0bc4c80" /><Relationship Type="http://schemas.openxmlformats.org/officeDocument/2006/relationships/hyperlink" Target="https://www.nevo.co.il/laws/#/617ecbb0e27c735463c98f72/clause/617ed48ee27c735463c98fcd" TargetMode="External" Id="Rfa136492bf02419f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