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2a5073561004e7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באר שבע יעקב אבינו),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באר שבע יעקב אבינו),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3(א)(3) לחוק לקידום הבנייה במתחמים מועדפים (הוראת שעה), התשע"ד-2014 (להלן – החוק), ובהמלצת מנהל מינהל התכנון כאמור בסעיף 3(ב) לחוק, לאחר שהתקיימו התנאים 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המתחם באר שבע יעקב אבינו המתואר בצו זה (להלן – המתחם) מוכרז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כ-34 דונם, מיקומו בתחום מחוז הדרום; המתחם מצוי בתחום השיפוט של הרשות המקומית באר שבע; המתחם ממוקם ממערב למרכז הנגב, ממזרח – בעל דופן בחלק המרכזי של שדרות רגר, החוצות את העיר מצפון לדרום, בין הרחובות יעקב אבינו בצפון ורחוב דרך מצדה בדרום.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של המתחם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הדרום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0de4b4396d5549f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באר שבע יעקב אבינו),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3b1b02265bb42be" /><Relationship Type="http://schemas.openxmlformats.org/officeDocument/2006/relationships/hyperlink" Target="https://www.nevo.co.il/laws/#/63863efbc2f2b868989bbc6e/clause/6386402bc2f2b868989bbc8f" TargetMode="External" Id="R0de4b4396d5549f6" /><Relationship Type="http://schemas.openxmlformats.org/officeDocument/2006/relationships/header" Target="/word/header1.xml" Id="r97" /><Relationship Type="http://schemas.openxmlformats.org/officeDocument/2006/relationships/footer" Target="/word/footer1.xml" Id="r98" /></Relationships>
</file>