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ef3355858154c12"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טירה – מתחמים 9, 10 ו-11), תשפ"ג-2022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מתחם מועדף לדיור</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גודל המתחם, מיקומו וגבולותיו</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פירוט גושים וחלקות במתחם</w:t>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צו לקידום הבנייה במתחמים מועדפים (הוראת שעה) (הכרזה על מתחם מועדף לדיור – טירה – מתחמים 9, 10 ו-11), תשפ"ג-2022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סמכותה לפי סעיף 3(א)(2)(א) לחוק לקידום הבנייה במתחמים מועדפים (הוראת שעה), התשע"ד-2014 (להלן – החוק), ובהמלצת מנהל מינהל התכנון כאמור בסעיף 3(ב) לחוק, לאחר שהתקיימו התנאים שבחוק, מכריזה ועדת השרים שמינתה הממשלה לעניין זה,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מתחם מועדף לדיור</w:t>
                </w:r>
              </w:p>
            </w:txbxContent>
          </v:textbox>
        </v:rect>
      </w:pict>
      <w:r>
        <w:rPr>
          <w:lang w:bidi="he-IL"/>
          <w:rFonts w:hint="cs" w:cs="FrankRuehl"/>
          <w:szCs w:val="34"/>
          <w:rtl/>
        </w:rPr>
        <w:t xml:space="preserve">1.</w:t>
      </w:r>
      <w:r>
        <w:rPr>
          <w:lang w:bidi="he-IL"/>
          <w:rFonts w:hint="cs" w:cs="FrankRuehl"/>
          <w:szCs w:val="26"/>
          <w:rtl/>
        </w:rPr>
        <w:tab/>
        <w:t xml:space="preserve">המתחמים 9, 10 ו-11 בטירה המתוארים בצו זה (להלן – המתחם) מוכרזים בזה מתחם מועדף לדיור.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גודל המתחם, מיקומו וגבולותיו</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גודלו של המתחם הוא כ-281 דונם, מיקומו בתחום מחוז המרכז; המתחם ברובו מצוי בתחום השיפוט של הרשות המקומית טירה; המתחם ממוקם צפונית לשטחי המועצה האזורית דרום השרון ושטחה הבנוי של טירה (שכונת אל-משכוע), מערבית לשטחה הבנוי של טירה (שכונת דאמו), דרומית לשטחי המועצה האזורית לב השרון ומזרחית לשטחי המועצה האזורית לב השרון ומושב כפר הס.</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גבולותיו הם כמסומן במפה שהעתקים ממנה מופקדים לעיון הציבור במשרדי הוועדה למתחמים מועדפים במשרד הפנים, רח' בית הדפוס 12, ירושלים, במשרדי הוועדה המחוזית לתכנון ולבנייה מחוז המרכז ובמשרדי הרשות המקומית האמורה.</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פירוט גושים וחלקות במתחם</w:t>
                </w:r>
              </w:p>
            </w:txbxContent>
          </v:textbox>
        </v:rect>
      </w:pict>
      <w:r>
        <w:rPr>
          <w:lang w:bidi="he-IL"/>
          <w:rFonts w:hint="cs" w:cs="FrankRuehl"/>
          <w:szCs w:val="34"/>
          <w:rtl/>
        </w:rPr>
        <w:t xml:space="preserve">3.</w:t>
      </w:r>
      <w:r>
        <w:rPr>
          <w:lang w:bidi="he-IL"/>
          <w:rFonts w:hint="cs" w:cs="FrankRuehl"/>
          <w:szCs w:val="26"/>
          <w:rtl/>
        </w:rPr>
        <w:tab/>
        <w:t xml:space="preserve"/>
      </w:r>
      <w:hyperlink xmlns:r="http://schemas.openxmlformats.org/officeDocument/2006/relationships" w:history="true" r:id="R049b66741cf04cf2">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איילת שקד</w:t>
                </w:r>
              </w:p>
              <w:p>
                <w:pPr>
                  <w:bidi/>
                  <w:spacing w:before="45" w:after="3" w:line="250" w:lineRule="auto"/>
                  <w:jc w:val="center"/>
                </w:pPr>
                <w:defaultTabStop w:val="720"/>
                <w:r>
                  <w:rPr>
                    <w:lang w:bidi="he-IL"/>
                    <w:rFonts w:hint="cs" w:cs="FrankRuehl"/>
                    <w:szCs w:val="22"/>
                    <w:rtl/>
                  </w:rPr>
                  <w:t xml:space="preserve">שרת הפניםיושבת ראש ועדת שרים לענייני פנים,שירותים, תכנון ושלטון מקומי</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לקידום הבנייה במתחמים מועדפים (הוראת שעה) (הכרזה על מתחם מועדף לדיור – טירה – מתחמים 9, 10 ו-11), תשפ"ג-2022,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f2bffaf10c8499b" /><Relationship Type="http://schemas.openxmlformats.org/officeDocument/2006/relationships/hyperlink" Target="https://www.nevo.co.il/laws/#/636d0468515d60c018c8fcac/clause/636d064e515d60c018c8fccd" TargetMode="External" Id="R049b66741cf04cf2" /><Relationship Type="http://schemas.openxmlformats.org/officeDocument/2006/relationships/header" Target="/word/header1.xml" Id="r97" /><Relationship Type="http://schemas.openxmlformats.org/officeDocument/2006/relationships/footer" Target="/word/footer1.xml" Id="r98" /></Relationships>
</file>