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0392227461417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עילוט – מתחם 11),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 המועצה הארצית לפי תמ"א 35</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עילוט – מתחם 11),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3(א)(2)(א) ו-8(ב)(2) לחוק לקידום הבנייה במתחמים מועדפים (הוראת שעה), התשע"ד-2014 (להלן – החוק), ובהמלצת מנהלת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עילוט – מתחם 11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כ-270 דונם, מיקומו בתחום מחוז הצפון; המתחם מצוי בתחום השיפוט של המועצה המקומית עילוט והמועצה האזורית עמק יזרעאל, ממזרח מערב וצפון גובל בשטחים חקלאיים ומדרום במועצה המקומית עילוט; 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הצפון ובמשרדי הרשויות המקומיות האמורות.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 המועצה הארצית לפי תמ"א 35</w:t>
                </w:r>
              </w:p>
            </w:txbxContent>
          </v:textbox>
        </v:rect>
      </w:pict>
      <w:r>
        <w:rPr>
          <w:lang w:bidi="he-IL"/>
          <w:rFonts w:hint="cs" w:cs="FrankRuehl"/>
          <w:szCs w:val="34"/>
          <w:rtl/>
        </w:rPr>
        <w:t xml:space="preserve">3.</w:t>
      </w:r>
      <w:r>
        <w:rPr>
          <w:lang w:bidi="he-IL"/>
          <w:rFonts w:hint="cs" w:cs="FrankRuehl"/>
          <w:szCs w:val="26"/>
          <w:rtl/>
        </w:rPr>
        <w:tab/>
        <w:t xml:space="preserve">לגבי המתחם יהיו נתונות לוועדה למתחמים מועדפים סמכויות המועצה הארצית לתכנון ולבנייה לפי תמ"א 35.</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f7bfa02661994d8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עילוט – מתחם 11),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106db698eca42ad" /><Relationship Type="http://schemas.openxmlformats.org/officeDocument/2006/relationships/hyperlink" Target="https://www.nevo.co.il/laws/#/62d515360bece85bb8cf52cb/clause/62d5162b0bece85bb8cf52e7" TargetMode="External" Id="Rf7bfa02661994d8b" /><Relationship Type="http://schemas.openxmlformats.org/officeDocument/2006/relationships/header" Target="/word/header1.xml" Id="r97" /><Relationship Type="http://schemas.openxmlformats.org/officeDocument/2006/relationships/footer" Target="/word/footer1.xml" Id="r98" /></Relationships>
</file>